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89EC3" w14:textId="77777777" w:rsidR="00FD62F2" w:rsidRPr="009C71B3" w:rsidRDefault="00FD62F2" w:rsidP="003F71B6">
      <w:pPr>
        <w:spacing w:after="0" w:line="240" w:lineRule="auto"/>
        <w:ind w:left="5103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6D93">
        <w:rPr>
          <w:rFonts w:ascii="Times New Roman" w:hAnsi="Times New Roman" w:cs="Times New Roman"/>
          <w:b/>
          <w:sz w:val="24"/>
          <w:szCs w:val="24"/>
          <w:highlight w:val="red"/>
        </w:rPr>
        <w:t>ЗАТВЕРДЖЕНО</w:t>
      </w:r>
    </w:p>
    <w:p w14:paraId="46DF4A60" w14:textId="77777777" w:rsidR="00FD62F2" w:rsidRPr="009C71B3" w:rsidRDefault="00FD62F2" w:rsidP="003F71B6">
      <w:pPr>
        <w:spacing w:after="0" w:line="240" w:lineRule="auto"/>
        <w:ind w:left="5103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1B3">
        <w:rPr>
          <w:rFonts w:ascii="Times New Roman" w:hAnsi="Times New Roman" w:cs="Times New Roman"/>
          <w:b/>
          <w:sz w:val="24"/>
          <w:szCs w:val="24"/>
        </w:rPr>
        <w:t>Наказ Міністерства охорони</w:t>
      </w:r>
    </w:p>
    <w:p w14:paraId="7F350CCD" w14:textId="38962837" w:rsidR="00FD62F2" w:rsidRPr="009C71B3" w:rsidRDefault="003F71B6" w:rsidP="003F71B6">
      <w:pPr>
        <w:spacing w:after="0" w:line="240" w:lineRule="auto"/>
        <w:ind w:left="5103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1B3">
        <w:rPr>
          <w:rFonts w:ascii="Times New Roman" w:hAnsi="Times New Roman" w:cs="Times New Roman"/>
          <w:b/>
          <w:sz w:val="24"/>
          <w:szCs w:val="24"/>
        </w:rPr>
        <w:t>з</w:t>
      </w:r>
      <w:r w:rsidR="00FD62F2" w:rsidRPr="009C71B3">
        <w:rPr>
          <w:rFonts w:ascii="Times New Roman" w:hAnsi="Times New Roman" w:cs="Times New Roman"/>
          <w:b/>
          <w:sz w:val="24"/>
          <w:szCs w:val="24"/>
        </w:rPr>
        <w:t>доров’я України</w:t>
      </w:r>
    </w:p>
    <w:p w14:paraId="31392310" w14:textId="312395B3" w:rsidR="00FD62F2" w:rsidRPr="009C71B3" w:rsidRDefault="00FD62F2" w:rsidP="003F71B6">
      <w:pPr>
        <w:spacing w:after="0" w:line="240" w:lineRule="auto"/>
        <w:ind w:left="5103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1B3">
        <w:rPr>
          <w:rFonts w:ascii="Times New Roman" w:hAnsi="Times New Roman" w:cs="Times New Roman"/>
          <w:b/>
          <w:sz w:val="24"/>
          <w:szCs w:val="24"/>
        </w:rPr>
        <w:t xml:space="preserve">_____________  № </w:t>
      </w:r>
      <w:r w:rsidRPr="009C71B3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14:paraId="7802E9C3" w14:textId="77777777" w:rsidR="00FD62F2" w:rsidRPr="009C71B3" w:rsidRDefault="00FD62F2" w:rsidP="003F71B6">
      <w:pPr>
        <w:spacing w:after="0" w:line="240" w:lineRule="auto"/>
        <w:ind w:left="5103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1B3">
        <w:rPr>
          <w:rFonts w:ascii="Times New Roman" w:hAnsi="Times New Roman" w:cs="Times New Roman"/>
          <w:b/>
          <w:sz w:val="24"/>
          <w:szCs w:val="24"/>
        </w:rPr>
        <w:t>Реєстраційне посвідчення</w:t>
      </w:r>
    </w:p>
    <w:p w14:paraId="22CECC96" w14:textId="6B22AFCC" w:rsidR="00FD62F2" w:rsidRPr="009C71B3" w:rsidRDefault="00FD62F2" w:rsidP="003F71B6">
      <w:pPr>
        <w:spacing w:after="0" w:line="240" w:lineRule="auto"/>
        <w:ind w:left="5103" w:firstLine="56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1B3">
        <w:rPr>
          <w:rFonts w:ascii="Times New Roman" w:hAnsi="Times New Roman" w:cs="Times New Roman"/>
          <w:b/>
          <w:sz w:val="24"/>
          <w:szCs w:val="24"/>
        </w:rPr>
        <w:t>№ _____________</w:t>
      </w:r>
      <w:r w:rsidR="003F71B6" w:rsidRPr="009C71B3">
        <w:rPr>
          <w:rFonts w:ascii="Times New Roman" w:hAnsi="Times New Roman" w:cs="Times New Roman"/>
          <w:b/>
          <w:sz w:val="24"/>
          <w:szCs w:val="24"/>
        </w:rPr>
        <w:t>__</w:t>
      </w:r>
    </w:p>
    <w:p w14:paraId="0AB4164C" w14:textId="77777777" w:rsidR="00FD62F2" w:rsidRPr="009C71B3" w:rsidRDefault="00FD62F2" w:rsidP="00F46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E76B021" w14:textId="77777777" w:rsidR="009E3087" w:rsidRPr="009C71B3" w:rsidRDefault="009E3087" w:rsidP="00F4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0EB1F387" w14:textId="77777777" w:rsidR="009E3087" w:rsidRPr="009C71B3" w:rsidRDefault="009E3087" w:rsidP="00F4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4A8F1012" w14:textId="6A4FB3CF" w:rsidR="00F46075" w:rsidRPr="009C71B3" w:rsidRDefault="00F46075" w:rsidP="00F46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ІНСТРУКЦІЯ</w:t>
      </w:r>
    </w:p>
    <w:p w14:paraId="6D686FB5" w14:textId="77777777" w:rsidR="00F46075" w:rsidRPr="009C71B3" w:rsidRDefault="00F46075" w:rsidP="00F46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для медичного застосування лікарського засобу</w:t>
      </w:r>
    </w:p>
    <w:p w14:paraId="3B18AA78" w14:textId="77777777" w:rsidR="003F71B6" w:rsidRPr="009C71B3" w:rsidRDefault="00990AEA" w:rsidP="00F4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14:paraId="3D4E69D3" w14:textId="2CBF1F18" w:rsidR="00F46075" w:rsidRPr="009C71B3" w:rsidRDefault="00990AEA" w:rsidP="00F46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ВІВАНАТ РОМФАРМ</w:t>
      </w:r>
    </w:p>
    <w:p w14:paraId="043EA5D0" w14:textId="59342513" w:rsidR="00F46075" w:rsidRPr="009C71B3" w:rsidRDefault="00990AEA" w:rsidP="00F46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</w:t>
      </w:r>
      <w:r w:rsidRPr="009C71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VIVANAT</w:t>
      </w:r>
      <w:r w:rsidRPr="009C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9C71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ROMPHARM</w:t>
      </w:r>
      <w:r w:rsidRPr="009C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</w:p>
    <w:p w14:paraId="726BCE16" w14:textId="77777777" w:rsidR="00F46075" w:rsidRPr="009C71B3" w:rsidRDefault="00F46075" w:rsidP="00F46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14:paraId="2CCE24AB" w14:textId="77777777" w:rsidR="00F46075" w:rsidRPr="009C71B3" w:rsidRDefault="00F46075" w:rsidP="00F46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Склад:</w:t>
      </w:r>
    </w:p>
    <w:p w14:paraId="7B618591" w14:textId="240CDC5A" w:rsidR="00F46075" w:rsidRPr="009C71B3" w:rsidRDefault="003F71B6" w:rsidP="00F46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діюча речовина: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ibandronic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46075" w:rsidRPr="009C71B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acid</w:t>
      </w:r>
      <w:r w:rsidR="00F46075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674DF685" w14:textId="77777777" w:rsidR="00F46075" w:rsidRPr="009C71B3" w:rsidRDefault="00F46075" w:rsidP="00F46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 попередньо наповнений шприц (3 мл) містить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3 мг у формі натрію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ібандронату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моногідрату 3,375 мг;</w:t>
      </w:r>
    </w:p>
    <w:p w14:paraId="34F74D6B" w14:textId="494EAD24" w:rsidR="00F46075" w:rsidRPr="009C71B3" w:rsidRDefault="00F46075" w:rsidP="00F46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допоміжні речовини:</w:t>
      </w:r>
      <w:r w:rsidR="003F71B6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натрію ацетат,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тригідрат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; кислота оцтова льодяна; натрію хлорид; кислоти оцтової розчин 1 %; вода для ін’єкцій. </w:t>
      </w: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</w:p>
    <w:p w14:paraId="0E61DA71" w14:textId="77777777" w:rsidR="00F46075" w:rsidRPr="009C71B3" w:rsidRDefault="00F46075" w:rsidP="00F46075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5B05C8FC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Лікарська форма.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 Розчин для ін’єкцій.</w:t>
      </w:r>
    </w:p>
    <w:p w14:paraId="07FC64A2" w14:textId="67AC32D8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Основні фізико-хімічні властивості:</w:t>
      </w:r>
      <w:r w:rsidR="003F71B6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прозорий безбарвний розчин.</w:t>
      </w:r>
    </w:p>
    <w:p w14:paraId="78AD62B4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14:paraId="4837933D" w14:textId="38C5BA25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C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Фармакотерапевтична</w:t>
      </w:r>
      <w:proofErr w:type="spellEnd"/>
      <w:r w:rsidRPr="009C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група. 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Засоби, що впливають на структуру та мінералізацію кісток.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Бісфосфонати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Кислота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ібандронова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524E3A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Код АТХ М05В А06.</w:t>
      </w:r>
    </w:p>
    <w:p w14:paraId="17185A23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1C46B56D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6D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eastAsia="uk-UA"/>
        </w:rPr>
        <w:t>Фармакологічні властивості.</w:t>
      </w:r>
    </w:p>
    <w:p w14:paraId="5FAADFBA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Фармакодинаміка</w:t>
      </w:r>
      <w:proofErr w:type="spellEnd"/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</w:p>
    <w:p w14:paraId="3955C733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Механізм дії</w:t>
      </w:r>
    </w:p>
    <w:p w14:paraId="2AC7C732" w14:textId="75EEB87F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Ібандронова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кислота є високоактивним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бісфосфонатом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що належить до групи азотовмісних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бісфосфонатів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селективно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діє на кісткову тканину і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специфічно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пригнічує активність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остеокластів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не має прямого впливу на формування кісткової тканини. Препарат не впливає на процес поповнення пулу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остеокластів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жінок у період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постменопаузи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ібандронова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кислота знижує підвищену швидкість оновлення кісткової тканини до рівня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пременопаузи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призводить до прогресивного збільшення кісткової маси і зниження частоти переломів.</w:t>
      </w:r>
    </w:p>
    <w:p w14:paraId="4D319092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Фармакодинамічні</w:t>
      </w:r>
      <w:proofErr w:type="spellEnd"/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ефекти</w:t>
      </w:r>
    </w:p>
    <w:p w14:paraId="01840EDA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Фармакодинамічною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дією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є пригнічення кісткової резорбції. </w:t>
      </w:r>
      <w:proofErr w:type="spellStart"/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In</w:t>
      </w:r>
      <w:proofErr w:type="spellEnd"/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vivo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ібандронова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кислота попереджає кісткову деструкцію, спричинену експериментально блокадою функції статевих залоз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ретиноїдами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, пухлинами та екстрактами пухлин. У молодих (швидко зростаючих) щурів також спостерігалося пригнічення ендогенної резорбції кісток, що призводило до збільшення нормальної кісткової маси порівняно з тваринами, які не отримували лікування.</w:t>
      </w:r>
    </w:p>
    <w:p w14:paraId="423A848E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Тваринні моделі підтверджують, що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ібандронова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кислота є високоактивним інгібітором активності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остеокластів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. У щурів, які ростуть, не спостерігалося ознак порушення мінералізації навіть при застосуванні доз, що більше ніж у 5000 разів перевищують дозу, необхідну для лікування остеопорозу.</w:t>
      </w:r>
    </w:p>
    <w:p w14:paraId="59FC20BD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Тривале щоденне застосування і періодичне застосування (через великі інтервали) протягом тривалого часу у щурів, собак і мавп асоціювалося з утворенням нової кістки нормальної якості зі збереженням або підвищеною механічною силою, навіть при застосуванні у токсичному діапазоні. Ефективність щоденного та періодичного введення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з інтервалом між дозами 9–10 тижнів була підтверджена у клінічному дослідженні за 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участю людей.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Ібандронова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кислота продемонструвала ефективність щодо попередження виникнення переломів.</w:t>
      </w:r>
    </w:p>
    <w:p w14:paraId="3880E035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тваринних моделях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ібандронова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кислота призводила до біохімічних змін, що свідчить про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дозозалежне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пригнічення резорбції кісткової тканини, включаючи зниження рівня біохімічних маркерів деградації кісткового колагену в сечі (таких як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дезоксипіридинолін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перехресно зшитий N-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телопептид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колагену I типу (</w:t>
      </w:r>
      <w:r w:rsidRPr="009C71B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NTX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)).</w:t>
      </w:r>
    </w:p>
    <w:p w14:paraId="43261A29" w14:textId="4411A644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Щоденне та періодичне застосування (з інтервалом між дозами 9–10 тижнів, поквартально)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перорально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внутрішньовенно жінкам у період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постменопаузи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призводило до біохімічних змін, що свідчать про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дозозалежне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пригнічення кісткової резорбції.</w:t>
      </w:r>
    </w:p>
    <w:p w14:paraId="27C6669F" w14:textId="5995811C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Внутрішньовенне введення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ібандронату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призводило до зниження рівн</w:t>
      </w:r>
      <w:r w:rsidR="004A3253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сироваткового </w:t>
      </w:r>
      <w:r w:rsidR="004A3253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С-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телопептиду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альфа-ланцюга колагену типу І (CTX) протягом 3–7 днів від початку лікування та до зниження рівн</w:t>
      </w:r>
      <w:r w:rsidR="004A3253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остеокальцину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протягом 3 місяців.</w:t>
      </w:r>
    </w:p>
    <w:p w14:paraId="015B9F6F" w14:textId="7D0A70D4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 припинення лікування спостерігається повернення до патологічн</w:t>
      </w:r>
      <w:r w:rsidR="004A3253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ого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рівн</w:t>
      </w:r>
      <w:r w:rsidR="004A3253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підвищеної кісткової резорбції, </w:t>
      </w:r>
      <w:r w:rsidR="0034598B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що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спостеріга</w:t>
      </w:r>
      <w:r w:rsidR="004A3253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ся до початку лікування, асоційован</w:t>
      </w:r>
      <w:r w:rsidR="00691EEA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ого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із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постменопаузальним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остеопорозом.</w:t>
      </w:r>
    </w:p>
    <w:p w14:paraId="3300053F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Гістологічний аналіз зразків, отриманих при біопсії кістки через 2 та 3 роки лікування жінок у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постменопаузальний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період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ібандроновою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кислотою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перорально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дозі 2,5 мг щоденно і внутрішньовенно періодично у дозі до 1 мг кожні 3 місяці, показав нормальний стан кісткової тканини без ознак порушення мінералізації. Через 2 роки лікування ін’єкціями препарату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у дозі 3 мг спостерігалося очікуване зниження кісткового метаболізму, а також нормальна якість кісткової тканини та відсутність порушень мінералізації.</w:t>
      </w:r>
    </w:p>
    <w:p w14:paraId="22D603E7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Фармакокінетика.</w:t>
      </w:r>
    </w:p>
    <w:p w14:paraId="076074E0" w14:textId="1B034654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 продемонстровано у різних дослідженнях у тварин і людини, первинний фармакологічний вплив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на кістки не має прямого відношення до фактичн</w:t>
      </w:r>
      <w:r w:rsidR="00691EEA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концентраці</w:t>
      </w:r>
      <w:r w:rsidR="00691EEA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ї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плазмі крові.</w:t>
      </w:r>
    </w:p>
    <w:p w14:paraId="1A7056D5" w14:textId="51AD2EEB" w:rsidR="00F46075" w:rsidRPr="009C71B3" w:rsidRDefault="00F46075" w:rsidP="00F46075">
      <w:pPr>
        <w:spacing w:after="0" w:line="240" w:lineRule="auto"/>
        <w:ind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Концентрація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у плазмі </w:t>
      </w:r>
      <w:r w:rsidR="00691EEA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крові 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зростає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пропорційно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дози після внутрішньовенного введення 0,5−6 мг.</w:t>
      </w:r>
    </w:p>
    <w:p w14:paraId="62BFF3F8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Розподіл</w:t>
      </w:r>
    </w:p>
    <w:p w14:paraId="78FF5755" w14:textId="1588D619" w:rsidR="00F46075" w:rsidRPr="009C71B3" w:rsidRDefault="00F46075" w:rsidP="00F46075">
      <w:pPr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Після первинної системної експозиції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ібандронова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кислота швидко зв’язується з кістковою тканиною або виділяється із сечею. У людини очевидний кінцевий об’єм розподілу становить щонайменше 90 л і приблизно 40–50 % від кількості препарату, що циркулює у крові, проникає у кісткову тканину. З білками плазми </w:t>
      </w:r>
      <w:r w:rsidR="00691EEA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крові 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зв’язується </w:t>
      </w:r>
      <w:r w:rsidR="00691EEA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приблизно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85−87 % (визначено в умовах </w:t>
      </w:r>
      <w:proofErr w:type="spellStart"/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in</w:t>
      </w:r>
      <w:proofErr w:type="spellEnd"/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vitro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при застосуванні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у терапевтичних концентраціях), отже, через заміщення спостерігається низький потенціал взаємодії з іншими лікарськими засобами.</w:t>
      </w:r>
    </w:p>
    <w:p w14:paraId="76C63F21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Біотрансформація</w:t>
      </w:r>
      <w:proofErr w:type="spellEnd"/>
    </w:p>
    <w:p w14:paraId="2E70BA84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Відсутні докази того, що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ібандронова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кислота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метаболізується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організмі людини або тварин.</w:t>
      </w:r>
    </w:p>
    <w:p w14:paraId="35B03897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Виведення</w:t>
      </w:r>
    </w:p>
    <w:p w14:paraId="4477BC24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Ібандронова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кислота видаляється з кровоносного русла шляхом кісткової абсорбції (приблизно 40−50 % у жінок у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постменопаузальний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період), решта виводиться у незміненому вигляді нирками.</w:t>
      </w:r>
    </w:p>
    <w:p w14:paraId="40798F43" w14:textId="13ED72ED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Діапазон очевидного періоду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напіввиведення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широкий і зазвичай становить 10–72 години. Оскільки розраховані значення значною мірою залежать від тривалості дослідження, застосованої дози та чутливості методу аналізу, кінцевий період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напіввиведення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імовірно, є суттєво довшим, як і у інших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бісфосфонатів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. Початков</w:t>
      </w:r>
      <w:r w:rsidR="00691EEA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ий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рів</w:t>
      </w:r>
      <w:r w:rsidR="00691EEA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ень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препарату у плазмі крові швидко знижу</w:t>
      </w:r>
      <w:r w:rsidR="00691EEA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ться і досяга</w:t>
      </w:r>
      <w:r w:rsidR="00691EEA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10 % від максимальних значень</w:t>
      </w:r>
      <w:r w:rsidR="00691EEA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впродовж періоду 3 та 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8 годин після внутрішньовенного введення або перорального застосування відповідно.</w:t>
      </w:r>
    </w:p>
    <w:p w14:paraId="1279E38C" w14:textId="089D16B6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Загальний кліренс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низький та в середньому становить 84–160 мл/хв. Нирковий кліренс (60 мл/хв у здорових жінок у період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постменопаузи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) становить 50–60</w:t>
      </w:r>
      <w:r w:rsidR="00691EEA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% від загального кліренсу і залежить від кліренсу креатиніну. Різниця між очевидним, загальним і нирковим кліренсом відображає поглинання препарату кістковою тканиною.</w:t>
      </w:r>
    </w:p>
    <w:p w14:paraId="691B1C0B" w14:textId="5D09A700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Шляхи секреції, імовірно, не включають відомі системи транспортування кислот та основ, залучені у виділення інших діючих речовин</w:t>
      </w:r>
      <w:r w:rsidR="008D4244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(див. розділ «Взаємодія з іншими лікарськими засобами та інші види взаємодій»)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Крім того,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ібандронова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кислота не пригнічує основні печінкові ізоферменти P450 у людини і не індукує систему цитохрому P450 печінки у щурів.</w:t>
      </w:r>
    </w:p>
    <w:p w14:paraId="500FB5F3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lastRenderedPageBreak/>
        <w:t>Фармакокінетика в особливих випадках</w:t>
      </w:r>
    </w:p>
    <w:p w14:paraId="05C410F5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Стать</w:t>
      </w:r>
    </w:p>
    <w:p w14:paraId="4DCB4D23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Фармакокінетика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у чоловіків і жінок подібна.</w:t>
      </w:r>
    </w:p>
    <w:p w14:paraId="0B5B1228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Раса</w:t>
      </w:r>
    </w:p>
    <w:p w14:paraId="3FD44539" w14:textId="73677BE5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Немає даних про клінічно значущу міжетнічну різницю між пацієнтами </w:t>
      </w:r>
      <w:r w:rsidR="00691EEA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монголоїдної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європеоїдної раси щодо розподілу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кислоти. Дані щодо пацієнтів негроїдної раси обмежені.</w:t>
      </w:r>
    </w:p>
    <w:p w14:paraId="4D707A7E" w14:textId="1B1AEF2F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Пацієнти з порушенням</w:t>
      </w:r>
      <w:r w:rsidR="00691EEA"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и</w:t>
      </w: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функції нирок</w:t>
      </w:r>
    </w:p>
    <w:p w14:paraId="6F1804FE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Нирковий кліренс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у пацієнтів з різним ступенем порушення функції нирок лінійно залежить від кліренсу креатиніну (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КлКр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14:paraId="07848095" w14:textId="5B83A7CF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Пацієнтам з легким</w:t>
      </w:r>
      <w:r w:rsidR="00FA7748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помірним</w:t>
      </w:r>
      <w:r w:rsidR="00FA7748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порушенням</w:t>
      </w:r>
      <w:r w:rsidR="00FA7748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функції нирок (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КлКр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≥ 30 мл/хв) дозу препарату коригувати не потрібно.</w:t>
      </w:r>
    </w:p>
    <w:p w14:paraId="014594CC" w14:textId="1EA6A2D0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пацієнтів з тяжким</w:t>
      </w:r>
      <w:r w:rsidR="00FA7748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порушенням</w:t>
      </w:r>
      <w:r w:rsidR="00FA7748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функції нирок (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КлКр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&lt; 30 мл/хв), які отримували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ібандронову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кислоту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перорально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дозі 10 мг впродовж 21 дня, концентрація у плазмі крові була у 2–3 рази вищою, ніж у пацієн</w:t>
      </w:r>
      <w:r w:rsidR="002C119C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тів з нормальною функцією нирок;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загальний кліренс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становив 44 мл/хв. Після внутрішньовенного введення 0,5 мг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пацієнтам </w:t>
      </w:r>
      <w:r w:rsidR="002C119C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з тяжким</w:t>
      </w:r>
      <w:r w:rsidR="00FA7748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порушенням</w:t>
      </w:r>
      <w:r w:rsidR="00FA7748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функції нирок загальний, нирковий та ненирковий кліренси знижувалися на 67 %, 77 % та 50 % відповідно, але зниження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переносимості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препарату внаслідок зростання експозиції не спостерігалося. Через обмежений клінічний досвід застосування препарат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Віванат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Ромфарм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рекомендований пацієнтам </w:t>
      </w:r>
      <w:r w:rsidR="00FA7748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з тяжким</w:t>
      </w:r>
      <w:r w:rsidR="00FA7748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порушенням</w:t>
      </w:r>
      <w:r w:rsidR="00FA7748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функції нирок (див. розділи</w:t>
      </w:r>
      <w:r w:rsidR="00FA7748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«Особливості застосування» та «Спосіб застосування та дози»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Фармакокінетика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у пацієнтів із термінальною стадією ниркової недостатності оцінювалася лише у невеликої кількості пацієнтів, які перебували на гемодіалізі, тому фармакокінетика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у пацієнтів, які не перебувають на діалізі, невідома. Через обмеженість даних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ібандронову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кислоту не слід застосовувати пацієнтам </w:t>
      </w:r>
      <w:r w:rsidR="00FA7748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з термінальною стадією ниркової недостатності.</w:t>
      </w:r>
    </w:p>
    <w:p w14:paraId="51885AE4" w14:textId="77777777" w:rsidR="004E69CB" w:rsidRPr="009C71B3" w:rsidRDefault="004E69CB" w:rsidP="004E69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Пацієнти з печінковою недостатністю </w:t>
      </w:r>
      <w:r w:rsidRPr="009C71B3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(див. розділ «Спосіб застосування та дози»)</w:t>
      </w:r>
    </w:p>
    <w:p w14:paraId="7713AC8C" w14:textId="01649B6B" w:rsidR="004E69CB" w:rsidRPr="009C71B3" w:rsidRDefault="004E69CB" w:rsidP="004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Немає даних щодо фармакокінетики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у пацієнтів з печінковою недостатністю. Печінка не бере значної участі у кліренсі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кислоти, яка не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метаболізується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, а виводиться нирками і шляхом поглинання кі</w:t>
      </w:r>
      <w:r w:rsidR="00FA7748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стковою тканиною. Таким чином 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хворим із печінковою недостатністю корекція дози препарату не потрібна.</w:t>
      </w:r>
    </w:p>
    <w:p w14:paraId="48CF8140" w14:textId="77777777" w:rsidR="004E69CB" w:rsidRPr="009C71B3" w:rsidRDefault="004E69CB" w:rsidP="004E69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Пацієнти літнього віку </w:t>
      </w:r>
      <w:r w:rsidRPr="009C71B3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(див. розділ «Спосіб застосування та дози»)</w:t>
      </w:r>
    </w:p>
    <w:p w14:paraId="5B9E60F8" w14:textId="77777777" w:rsidR="004E69CB" w:rsidRPr="009C71B3" w:rsidRDefault="004E69CB" w:rsidP="004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Вивчені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фармакокінетичні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параметри при багатовимірному аналізі не залежать від віку. Оскільки функція нирок зменшується з віком, це єдиний фактор, який слід брати до уваги (див. розділ «Пацієнти з нирковою недостатністю»).</w:t>
      </w:r>
    </w:p>
    <w:p w14:paraId="65FAF96F" w14:textId="77777777" w:rsidR="004E69CB" w:rsidRPr="009C71B3" w:rsidRDefault="004E69CB" w:rsidP="004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Діти (див. розділ «Спосіб застосування та дози»)</w:t>
      </w:r>
    </w:p>
    <w:p w14:paraId="68401461" w14:textId="06928FE8" w:rsidR="004E69CB" w:rsidRPr="009C71B3" w:rsidRDefault="004E69CB" w:rsidP="004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Немає даних</w:t>
      </w: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щодо застосування препарату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Віванат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 w:rsidR="00FA7748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Ромфарм</w:t>
      </w:r>
      <w:proofErr w:type="spellEnd"/>
      <w:r w:rsidR="00FA7748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дітям.</w:t>
      </w:r>
    </w:p>
    <w:p w14:paraId="4F0D9C4E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14:paraId="583240AA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Клінічні характеристики.</w:t>
      </w:r>
    </w:p>
    <w:p w14:paraId="1AE79BEB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Показання.</w:t>
      </w:r>
    </w:p>
    <w:p w14:paraId="425537E6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Лікування остеопорозу у жінок у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постменопаузальний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період з підвищеним ризиком переломів. Продемонстровано зниження ризику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вертебральних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переломів, ефективність щодо запобігання переломам шийки стегна не встановлена.</w:t>
      </w:r>
    </w:p>
    <w:p w14:paraId="5A4E4EDD" w14:textId="77777777" w:rsidR="00F46075" w:rsidRPr="009C71B3" w:rsidRDefault="00F46075" w:rsidP="00F46075">
      <w:pPr>
        <w:spacing w:after="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09346C19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Протипоказання.</w:t>
      </w:r>
    </w:p>
    <w:p w14:paraId="3B23BF91" w14:textId="0AD302FF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Підвищена чутливість до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або до будь-якої з допоміжних речовин</w:t>
      </w:r>
      <w:r w:rsidR="00F90A3B" w:rsidRPr="009C71B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A13801" w:rsidRPr="009C71B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лікарського</w:t>
      </w:r>
      <w:proofErr w:type="spellEnd"/>
      <w:r w:rsidR="00A13801" w:rsidRPr="009C71B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A13801" w:rsidRPr="009C71B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засобу</w:t>
      </w:r>
      <w:proofErr w:type="spellEnd"/>
      <w:r w:rsidR="00A13801" w:rsidRPr="009C71B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F90A3B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(див. розділ «Склад»)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6578F843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Гіпокальціємія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5B05348" w14:textId="283E8643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9C7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 </w:t>
      </w:r>
    </w:p>
    <w:p w14:paraId="7877C705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Взаємодія з іншими лікарськими засобами та інші види взаємодій.</w:t>
      </w:r>
    </w:p>
    <w:p w14:paraId="261B112A" w14:textId="5F2EE0E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Метаболічні взаємодії не вважаються вірогідними, оскільки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ібандронова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кислота не пригнічує основні печінкові ізоферменти Р450 у людини та не індукує систему печінкового цитохрому Р450 у щурів (див. розділ «Фармакокінетика»).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Ібандронова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кислота виводиться тільки шляхом ниркової екскреції </w:t>
      </w:r>
      <w:r w:rsidR="00A13801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та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підлягає процесам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біотрансформації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5C7EAFB4" w14:textId="7E2E40B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 </w:t>
      </w:r>
      <w:r w:rsidRPr="009C7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Особливості застосування.</w:t>
      </w:r>
    </w:p>
    <w:p w14:paraId="03277538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Помилки введення</w:t>
      </w:r>
    </w:p>
    <w:p w14:paraId="1BC89D3E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Слід дотримуватися обережності та уникати введення препарату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Віванат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Ромфарм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внутрішньоартеріально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у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навколовенозний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простір, оскільки це може спричинити пошкодження тканин.</w:t>
      </w:r>
    </w:p>
    <w:p w14:paraId="7A451A54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Гіпокальціємія</w:t>
      </w:r>
      <w:proofErr w:type="spellEnd"/>
    </w:p>
    <w:p w14:paraId="4810124F" w14:textId="53D4DE71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Застосування препарату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Віванат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Ромфарм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 і застосування інших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бісфосфонатів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вводяться внутрішньовенно, може призвести до тимчасового зниження сироватков</w:t>
      </w:r>
      <w:r w:rsidR="004B7603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ого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рівн</w:t>
      </w:r>
      <w:r w:rsidR="004B7603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кальцію.</w:t>
      </w:r>
    </w:p>
    <w:p w14:paraId="2B9B3C0A" w14:textId="60198B7B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початку терапії препаратом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Віванат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Ромфарм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слід відкоригувати наявну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гіпокальціємію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Інші порушення метаболізму кісткової тканини та мінерального обміну речовин також </w:t>
      </w:r>
      <w:r w:rsidR="002C119C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потрібно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ефективно лікувати.</w:t>
      </w:r>
    </w:p>
    <w:p w14:paraId="7D5B0F37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Усі пацієнти повинні отримувати достатню кількість кальцію та вітаміну D.</w:t>
      </w:r>
    </w:p>
    <w:p w14:paraId="2963AB0A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Анафілактична реакція/шок</w:t>
      </w:r>
    </w:p>
    <w:p w14:paraId="6FA5746C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пацієнтів, які отримували лікування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ібандроновою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кислотою внутрішньовенно, повідомляли про випадки анафілактичної реакції/шоку, у тому числі з летальним наслідком.</w:t>
      </w:r>
    </w:p>
    <w:p w14:paraId="3970529D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 час внутрішньовенного введення препарату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Віванат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Ромфарм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мають бути легкодоступними засоби відповідної медичної допомоги та моніторингу. При виникненні анафілактичної або інших тяжких реакцій підвищеної чутливості/алергічних реакцій слід негайно припинити ін’єкцію та розпочати відповідне лікування.</w:t>
      </w:r>
    </w:p>
    <w:p w14:paraId="251E22C9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Порушення функції нирок</w:t>
      </w:r>
    </w:p>
    <w:p w14:paraId="10293304" w14:textId="5DD8B454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Пацієнтам </w:t>
      </w:r>
      <w:r w:rsidR="00CF26AD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зі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супутніми захворюваннями або тим, хто застосовує лікарські засоби, що можуть несприятливо впливати на нирки, у період лікування слід регулярно проходити обстеження відповідно до належної медичної практики.</w:t>
      </w:r>
    </w:p>
    <w:p w14:paraId="1796EA8F" w14:textId="2FBAFF0E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Через обмежений клінічний досвід ін’єкції препаратом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Віванат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Ромфарм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рекомендовані пацієнтам, у яких сироватковий рівень креатиніну перевищує 200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мкмоль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/л (2,3 мг/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дл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або кліренс креатиніну </w:t>
      </w:r>
      <w:r w:rsidR="002C119C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становить 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нижче 30 мл/хв (див. розділи </w:t>
      </w:r>
      <w:r w:rsidR="00CF26AD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«Фармакокінетика» та «Спосіб застосування та дози»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14:paraId="13B13C14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Серцева недостатність</w:t>
      </w:r>
    </w:p>
    <w:p w14:paraId="115A93B9" w14:textId="10D0665D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Пацієнтам </w:t>
      </w:r>
      <w:r w:rsidR="00CF26AD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з ризиком розвитку серцевої недостатності слід уникати надмірної гідратації.</w:t>
      </w:r>
    </w:p>
    <w:p w14:paraId="5AE1EC7C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Остеонекроз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 щелепних кісток</w:t>
      </w:r>
    </w:p>
    <w:p w14:paraId="283A2771" w14:textId="7A362550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 час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постмаркетингового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застосування дуже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рідко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повідомляли про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остеонекроз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щелепних кісток (ОЩК) у пацієнтів, які </w:t>
      </w:r>
      <w:r w:rsidR="002C119C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застосовували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ібандронат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6775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лікування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остеопорозу (див. розділ «Побічні реакції»). У пацієнтів із незагоєними відкритими ушкодженнями м’яких тканин ротової порожнини слід відтермінувати початок лікування або нового курсу лікування. Перед початком лікування препаратом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Віванат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Ромфарм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пацієнтам </w:t>
      </w:r>
      <w:r w:rsidR="00CF26AD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зі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супутніми факторами ризику рекомендується стоматологічне обстеження з відповідним профілактичним втручанням та індивідуальною оцінкою співвідношення користь-ризик.</w:t>
      </w:r>
    </w:p>
    <w:p w14:paraId="5A07DE16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Оцінюючи ризик розвитку у пацієнта ОЩК, слід брати до уваги такі фактори ризику:</w:t>
      </w:r>
    </w:p>
    <w:p w14:paraId="7ADFC921" w14:textId="3E50B975" w:rsidR="00F46075" w:rsidRPr="009C71B3" w:rsidRDefault="00F46075" w:rsidP="00CF26AD">
      <w:pPr>
        <w:pStyle w:val="a3"/>
        <w:numPr>
          <w:ilvl w:val="0"/>
          <w:numId w:val="1"/>
        </w:numPr>
        <w:spacing w:after="0"/>
        <w:jc w:val="both"/>
      </w:pPr>
      <w:r w:rsidRPr="009C71B3">
        <w:t xml:space="preserve">активність лікарського засобу, який пригнічує кісткову резорбцію (ризик вищий у разі застосування </w:t>
      </w:r>
      <w:proofErr w:type="spellStart"/>
      <w:r w:rsidRPr="009C71B3">
        <w:t>сполук</w:t>
      </w:r>
      <w:proofErr w:type="spellEnd"/>
      <w:r w:rsidRPr="009C71B3">
        <w:t xml:space="preserve"> з високою активністю); спосіб введення (ризик вищий при </w:t>
      </w:r>
      <w:proofErr w:type="spellStart"/>
      <w:r w:rsidRPr="009C71B3">
        <w:t>парентеральному</w:t>
      </w:r>
      <w:proofErr w:type="spellEnd"/>
      <w:r w:rsidRPr="009C71B3">
        <w:t xml:space="preserve"> введенні) і кумулятивна доза кістково-резорбційної терапії;</w:t>
      </w:r>
    </w:p>
    <w:p w14:paraId="763400B4" w14:textId="35BAB90F" w:rsidR="00F46075" w:rsidRPr="009C71B3" w:rsidRDefault="00F46075" w:rsidP="00CF26AD">
      <w:pPr>
        <w:pStyle w:val="a3"/>
        <w:numPr>
          <w:ilvl w:val="0"/>
          <w:numId w:val="1"/>
        </w:numPr>
        <w:spacing w:after="0"/>
        <w:jc w:val="both"/>
      </w:pPr>
      <w:r w:rsidRPr="009C71B3">
        <w:t>злоякісні новоутворення, супутні патологічні стани (наприклад</w:t>
      </w:r>
      <w:r w:rsidR="007C5B8C" w:rsidRPr="009C71B3">
        <w:t>,</w:t>
      </w:r>
      <w:r w:rsidRPr="009C71B3">
        <w:t xml:space="preserve"> анемія, </w:t>
      </w:r>
      <w:proofErr w:type="spellStart"/>
      <w:r w:rsidRPr="009C71B3">
        <w:t>коагулопаті</w:t>
      </w:r>
      <w:r w:rsidR="007C5B8C" w:rsidRPr="009C71B3">
        <w:t>я</w:t>
      </w:r>
      <w:proofErr w:type="spellEnd"/>
      <w:r w:rsidRPr="009C71B3">
        <w:t>, інфекція), тютюнопаління;</w:t>
      </w:r>
    </w:p>
    <w:p w14:paraId="440BF433" w14:textId="037AE114" w:rsidR="00F46075" w:rsidRPr="009C71B3" w:rsidRDefault="00F46075" w:rsidP="00CF26AD">
      <w:pPr>
        <w:pStyle w:val="a3"/>
        <w:numPr>
          <w:ilvl w:val="0"/>
          <w:numId w:val="1"/>
        </w:numPr>
        <w:spacing w:after="0"/>
        <w:jc w:val="both"/>
      </w:pPr>
      <w:r w:rsidRPr="009C71B3">
        <w:t xml:space="preserve">супутнє лікування: кортикостероїди, хіміотерапія, інгібітори </w:t>
      </w:r>
      <w:proofErr w:type="spellStart"/>
      <w:r w:rsidRPr="009C71B3">
        <w:t>ангіогенезу</w:t>
      </w:r>
      <w:proofErr w:type="spellEnd"/>
      <w:r w:rsidRPr="009C71B3">
        <w:t>, променева терапія ділянки голови та шиї;</w:t>
      </w:r>
    </w:p>
    <w:p w14:paraId="19A41748" w14:textId="1A96EBB5" w:rsidR="00F46075" w:rsidRPr="009C71B3" w:rsidRDefault="00F46075" w:rsidP="00CF26AD">
      <w:pPr>
        <w:pStyle w:val="a3"/>
        <w:numPr>
          <w:ilvl w:val="0"/>
          <w:numId w:val="1"/>
        </w:numPr>
        <w:spacing w:after="0"/>
        <w:jc w:val="both"/>
      </w:pPr>
      <w:r w:rsidRPr="009C71B3">
        <w:t xml:space="preserve">неналежна гігієна ротової порожнини, захворювання </w:t>
      </w:r>
      <w:proofErr w:type="spellStart"/>
      <w:r w:rsidRPr="009C71B3">
        <w:t>періодонта</w:t>
      </w:r>
      <w:proofErr w:type="spellEnd"/>
      <w:r w:rsidRPr="009C71B3">
        <w:t xml:space="preserve">, погано підібрані зубні протези, захворювання зубів в анамнезі, </w:t>
      </w:r>
      <w:proofErr w:type="spellStart"/>
      <w:r w:rsidRPr="009C71B3">
        <w:t>інвазивні</w:t>
      </w:r>
      <w:proofErr w:type="spellEnd"/>
      <w:r w:rsidRPr="009C71B3">
        <w:t xml:space="preserve"> стоматологічні втручання, наприклад видалення зубів.</w:t>
      </w:r>
    </w:p>
    <w:p w14:paraId="471DD4F6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 час лікування препаратом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Віванат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Ромфарм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усім пацієнтам слід дотримуватися належної гігієни ротової порожнини, проходити регулярні огляди у стоматолога та негайно повідомляти про будь-які симптоми з боку ротової порожнини, такі як рухливість зубів, біль або набряк, 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незагойні виразки або виділення. Під час лікування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інвазивні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стоматологічні втручання потрібно проводити лише після ретельного розгляду: їх слід уникати під час та найближчим часом після застосування препарату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Віванат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Ромфарм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5E7FB6DC" w14:textId="454D2DDE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План ведення пацієнтів, у яких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розвинувся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ОЩК, має бути розроблений в умовах тісної співпраці лікаря зі стоматологом або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щелепно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-лицьовим хірургом </w:t>
      </w:r>
      <w:r w:rsidR="007C5B8C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досвідом лікування ОЩК. Слід розглянути питання про тимчасове переривання лікування препаратом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Віванат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Ромфарм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покращення</w:t>
      </w:r>
      <w:r w:rsidR="00BF6775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стану та послаблення 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факторів ризику.</w:t>
      </w:r>
    </w:p>
    <w:p w14:paraId="6496F96D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Остеонекроз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 зовнішнього слухового проходу</w:t>
      </w:r>
    </w:p>
    <w:p w14:paraId="0EEBACD5" w14:textId="50A8FD21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застосуванні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бісфосфонатів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повідомляли про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остеонекроз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зовнішнього слухового проходу, переважно у зв’язку з тривалим лікуванням. До можливих факторів ризику виникнення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остеонекрозу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зовнішнього слухового проходу належать застосування стероїдних гормонів і хіміотерапія та/або місцеві фактори ризику, такі як інфекція або травма. Імовірність виникнення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остеонекрозу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зовнішнього слухового проходу слід враховувати у пацієнтів, які отримують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бісфосфонати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2732F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та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яких наявні симптоми з боку вуха, включаючи хронічні інфекції вуха.</w:t>
      </w:r>
    </w:p>
    <w:p w14:paraId="02521FE1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Атипові переломи стегна</w:t>
      </w:r>
    </w:p>
    <w:p w14:paraId="239DAC91" w14:textId="0852F163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атиповий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підвертлюжний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діафізарний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переломи стегнової кістки повідомляли при лікуван</w:t>
      </w:r>
      <w:r w:rsidR="007C5B8C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ні </w:t>
      </w:r>
      <w:proofErr w:type="spellStart"/>
      <w:r w:rsidR="007C5B8C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бісфосфонатами</w:t>
      </w:r>
      <w:proofErr w:type="spellEnd"/>
      <w:r w:rsidR="007C5B8C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, насамперед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пацієнтів, які отримували тривале лікування остеопорозу. Ці поперечні або поперечно-косі переломи можуть статися у будь-якому місці стегна – від трохи нижче малого вертлюга стегнової кістки до трохи вище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надвиросткового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підвищення. Ці переломи виникають після мінімальної тр</w:t>
      </w:r>
      <w:r w:rsidR="0012732F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авми або при відсутності травми;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деякі пацієнти відчувають біль у ділянці стегна або паховий біль, що часто асоціюється з характерними рисами стресового перелому, впродовж від кількох тижнів до кількох місяців, перш ніж перелом проявиться у вигляді повного перелому стегнової кістки. Переломи часто бувають дво</w:t>
      </w:r>
      <w:r w:rsidR="007C5B8C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бічними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тому слід також оглянути інше стегно у пацієнтів, які отримують лікування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бісфосфонатами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у яких виник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діафізарний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перелом стегнової кістки. Також повідомляли про погане загоєння цих переломів. Питання про припинення застосування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бісфосфонатів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пацієнтам із підозрюваними атиповими переломами стегнової кістки необхідно розглянути до завершення оцінки стану пацієнта, враховуючи індивідуальну оцінку співвідношення користь-ризик.</w:t>
      </w:r>
    </w:p>
    <w:p w14:paraId="72F2087F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 час лікування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бісфосфонатами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пацієнтам слід рекомендувати повідомляти про біль у ділянці стегна, тазостегнового суглоба або про паховий біль; всі пацієнти з такими симптомами повинні бути обстежені щодо неповного перелому стегнової кістки.</w:t>
      </w:r>
    </w:p>
    <w:p w14:paraId="4A3CEE77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Препарат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Віванат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Ромфарм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містить натрію.</w:t>
      </w:r>
    </w:p>
    <w:p w14:paraId="5BBFC37F" w14:textId="77777777" w:rsidR="0012732F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Утилізація невикористаного препарату та препарату із простроченим терміном придатності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1E952EAA" w14:textId="754BCC96" w:rsidR="00F46075" w:rsidRPr="009C71B3" w:rsidRDefault="0012732F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="00F46075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адходження лікарського засобу у зовнішнє середовище необхідно звести до мінімуму. Лікарський засіб не слід викидати у стічні води і побутові відходи. Для утилізації необх</w:t>
      </w:r>
      <w:r w:rsidR="007426BB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ідно використовувати так звану систему збору відходів</w:t>
      </w:r>
      <w:r w:rsidR="00F46075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 наявності такої.</w:t>
      </w:r>
    </w:p>
    <w:p w14:paraId="5C2BE4A8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1AEFE404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Застосування у період вагітності або годування груддю.</w:t>
      </w:r>
    </w:p>
    <w:p w14:paraId="000B1EE9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Вагітність</w:t>
      </w:r>
    </w:p>
    <w:p w14:paraId="45AD7FA0" w14:textId="0CF3144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Препара</w:t>
      </w:r>
      <w:r w:rsidR="007C5B8C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 </w:t>
      </w:r>
      <w:proofErr w:type="spellStart"/>
      <w:r w:rsidR="007C5B8C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Віванат</w:t>
      </w:r>
      <w:proofErr w:type="spellEnd"/>
      <w:r w:rsidR="007C5B8C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7C5B8C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Ромфарм</w:t>
      </w:r>
      <w:proofErr w:type="spellEnd"/>
      <w:r w:rsidR="007C5B8C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призначений для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застосування лише жінкам у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постменопаузі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. Препарат не слід застосовувати жінкам репродуктивного віку.</w:t>
      </w:r>
    </w:p>
    <w:p w14:paraId="2C05F2B2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Немає належних даних щодо застосування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вагітним жінкам. У дослідженнях на щурах спостерігалася певна репродуктивна токсичність. Потенційний ризик для людини невідомий. Препарат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Віванат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Ромфарм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слід застосовувати у період вагітності.</w:t>
      </w:r>
    </w:p>
    <w:p w14:paraId="26E2731E" w14:textId="2A21DC05" w:rsidR="00F46075" w:rsidRPr="009C71B3" w:rsidRDefault="007C5B8C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Період г</w:t>
      </w:r>
      <w:r w:rsidR="00F46075" w:rsidRPr="009C71B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одування груддю</w:t>
      </w:r>
    </w:p>
    <w:p w14:paraId="58671FF6" w14:textId="19496234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Невідомо, чи проникає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ібандронова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кислота у грудне молоко. Дослідження продемонстрували наявність низьк</w:t>
      </w:r>
      <w:r w:rsidR="00CA092D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ого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рівн</w:t>
      </w:r>
      <w:r w:rsidR="00CA092D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у молоці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лактуючи</w:t>
      </w:r>
      <w:r w:rsidR="00CA092D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х</w:t>
      </w:r>
      <w:proofErr w:type="spellEnd"/>
      <w:r w:rsidR="00CA092D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щурів після 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введення</w:t>
      </w:r>
      <w:r w:rsidR="00CA092D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внутрішньовенно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Препарат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Віванат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Ромфарм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слід застосовувати під час годування груддю.</w:t>
      </w:r>
    </w:p>
    <w:p w14:paraId="074206F3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Фертильність</w:t>
      </w:r>
    </w:p>
    <w:p w14:paraId="0B113EF2" w14:textId="69445C71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Немає даних щодо впливу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у людини. У репродуктивних дослідженнях у щурів при пероральному прийомі у високих добових дозах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ібандронова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кислота знижувала 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фертильність. У дослідженн</w:t>
      </w:r>
      <w:r w:rsidR="00CA092D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ях у щурів при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введенні </w:t>
      </w:r>
      <w:r w:rsidR="00CA092D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внутрішньовенно 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високих добових дозах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ібандронова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кислота знижувала фертильність.</w:t>
      </w:r>
    </w:p>
    <w:p w14:paraId="2FA872E7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</w:p>
    <w:p w14:paraId="6C4CC91A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Здатність впливати на швидкість реакції при керуванні автотранспортом або іншими механізмами.</w:t>
      </w:r>
    </w:p>
    <w:p w14:paraId="58CBEBB2" w14:textId="4C5BBDF3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огляду на особливості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фармакодинаміки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фармакокінетичний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профіль і повідомлені побічні реакції, очікується, що препарат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Віванат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Ромфарм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r w:rsidR="00CA092D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впливає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має незначний вплив на здатність керувати транспортними засобами або працювати з механізмами.</w:t>
      </w:r>
    </w:p>
    <w:p w14:paraId="221DF23E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14:paraId="71E3018C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Спосіб застосування та дози.</w:t>
      </w:r>
    </w:p>
    <w:p w14:paraId="2CBF4D93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Дозування</w:t>
      </w:r>
    </w:p>
    <w:p w14:paraId="420FC1AA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Рекомендована доза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становить 3 мг у вигляді внутрішньовенної ін’єкції тривалістю 15−30 секунд, кожні 3 місяці.</w:t>
      </w:r>
    </w:p>
    <w:p w14:paraId="7185789D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Слід суворо дотримуватися внутрішньовенного шляху введення (див. розділ «Особливості застосування»).</w:t>
      </w:r>
    </w:p>
    <w:p w14:paraId="2871016B" w14:textId="07DEFB7E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Пацієнтам необхідно додатково приймати кальцій та вітамін D (див. розділи </w:t>
      </w:r>
      <w:r w:rsidR="00CA092D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«Взаємодія з іншими лікарськими засобами та інші види взаємодій» та «Особливості застосування»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14:paraId="12502C62" w14:textId="11AF70A5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разі пропуску дози ін’єкцію препарату слід зробити одразу, як тільки це буде можливо. У подальшому ін’єкції </w:t>
      </w:r>
      <w:r w:rsidR="00D6317C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потрібно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виконувати кожні 3 місяці з моменту останнього введення препарату.</w:t>
      </w:r>
    </w:p>
    <w:p w14:paraId="28C35C28" w14:textId="55F418E1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Оптимальна тривалість лікування остеопорозу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бісфосфонатами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встановлена. Слід періодично переглядати питання щодо необхідності продовження лікування з урахуванням </w:t>
      </w:r>
      <w:r w:rsidR="00D6317C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очікуваної 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користі та потенційн</w:t>
      </w:r>
      <w:r w:rsidR="00D6317C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ого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ризик</w:t>
      </w:r>
      <w:r w:rsidR="00D6317C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застосування препарату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Віванат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Ромфарм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кожного пацієнта окремо, особливо після 5 або більше років застосування препарату.</w:t>
      </w:r>
    </w:p>
    <w:p w14:paraId="69B338FB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uk-UA"/>
        </w:rPr>
        <w:t>Особливі групи пацієнтів</w:t>
      </w:r>
    </w:p>
    <w:p w14:paraId="1B9DD5D8" w14:textId="5E4AA698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Пацієнти з порушенням</w:t>
      </w:r>
      <w:r w:rsidR="00CA092D"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и</w:t>
      </w: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функції нирок</w:t>
      </w:r>
    </w:p>
    <w:p w14:paraId="11217F16" w14:textId="31D1E0B1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Ін’єкції препарату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Віванат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Ромфарм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рекомендовані пацієнтам, у яких сироватковий рівень креатиніну перевищує 200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мкмоль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/л (2,3 мг/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дл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або кліренс креатиніну (визначений або розрахований) </w:t>
      </w:r>
      <w:r w:rsidR="00C5667E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становить 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нижче 30 мл/хв, оскільки дані клінічних досліджень, у тому числі щодо пацієнтів цієї групи, обмежені.</w:t>
      </w:r>
    </w:p>
    <w:p w14:paraId="4D152AA2" w14:textId="18B2EF5A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Корекція дози не потрібна пацієнтам з легким</w:t>
      </w:r>
      <w:r w:rsidR="000A36DC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помірним</w:t>
      </w:r>
      <w:r w:rsidR="000A36DC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порушенням</w:t>
      </w:r>
      <w:r w:rsidR="000A36DC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функції нирок, у яких сироватковий рівень креатиніну дорівнює або нижче 200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мкмоль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/л (2,3 мг/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дл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) або кліренс креатиніну (визначений або розрахований) дорівнює або перевищує 30 мл/хв.</w:t>
      </w:r>
    </w:p>
    <w:p w14:paraId="4011792B" w14:textId="65C6E321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Пацієнти з порушенням</w:t>
      </w:r>
      <w:r w:rsidR="000A36DC"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и</w:t>
      </w: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функції печінки</w:t>
      </w:r>
    </w:p>
    <w:p w14:paraId="79624B2C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Корекція дози не потрібна (див. розділ «Фармакокінетика»).</w:t>
      </w:r>
    </w:p>
    <w:p w14:paraId="4AEACE0C" w14:textId="69A819C2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Пацієнти літнього віку (&gt;</w:t>
      </w:r>
      <w:r w:rsidR="00CA092D"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65 років)</w:t>
      </w:r>
    </w:p>
    <w:p w14:paraId="588D1733" w14:textId="0CF8BC9D" w:rsidR="00CB49C1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Корекція дози не потрібна (див. розділ «Фармакокінетика»).</w:t>
      </w:r>
    </w:p>
    <w:p w14:paraId="785A5AC5" w14:textId="66105894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Особливі вказівки щодо застосування</w:t>
      </w:r>
    </w:p>
    <w:p w14:paraId="3D5920B1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Якщо лікарський засіб вводиться в існуючу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інфузійну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систему для внутрішньовенного введення,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інфузатом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бути тільки ізотонічний розчин або 5 % розчин глюкози (50 мг/мл). Це також стосується розчинів, які застосовують для промивання катетера та інших приладів.</w:t>
      </w:r>
    </w:p>
    <w:p w14:paraId="1F47FA26" w14:textId="230AA810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Будь-який невикористаний розчин для ін’єкції, шприц та голку для ін’єкцій слід утилізувати відповідно до місцевих вимог. Надходження лікарських засобів у зовнішнє середовище </w:t>
      </w:r>
      <w:r w:rsidR="00C5667E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потрібно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звести до мінімуму.</w:t>
      </w:r>
    </w:p>
    <w:p w14:paraId="27544119" w14:textId="27D5C9A5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Слід строго дотримуватися нижчезазначен</w:t>
      </w:r>
      <w:r w:rsidR="00C5667E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их рекомендацій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щодо застосування </w:t>
      </w:r>
      <w:r w:rsidR="00E82778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й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утилізації шприців та інших колючих та ріжучих інструментів:</w:t>
      </w:r>
    </w:p>
    <w:p w14:paraId="665225E2" w14:textId="02320FAF" w:rsidR="00F46075" w:rsidRPr="009C71B3" w:rsidRDefault="006318FD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• </w:t>
      </w:r>
      <w:r w:rsidR="00F46075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Голки та шприци ніколи не слід </w:t>
      </w:r>
      <w:r w:rsidR="00E82778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використовувати</w:t>
      </w:r>
      <w:r w:rsidR="00F46075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повторно.</w:t>
      </w:r>
    </w:p>
    <w:p w14:paraId="78844C14" w14:textId="6C4FEF42" w:rsidR="00F46075" w:rsidRPr="009C71B3" w:rsidRDefault="006318FD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• </w:t>
      </w:r>
      <w:r w:rsidR="00F46075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Помістити всі використані голки та шприци у контейнер для колючих та ріжучих інструментів (</w:t>
      </w:r>
      <w:proofErr w:type="spellStart"/>
      <w:r w:rsidR="00F46075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проколостійкий</w:t>
      </w:r>
      <w:proofErr w:type="spellEnd"/>
      <w:r w:rsidR="00F46075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контейнер для одноразового застосування).</w:t>
      </w:r>
    </w:p>
    <w:p w14:paraId="06679A93" w14:textId="4320AE22" w:rsidR="00F46075" w:rsidRPr="009C71B3" w:rsidRDefault="006318FD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• </w:t>
      </w:r>
      <w:r w:rsidR="00F46075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Цей контейнер має знаходитися у недоступному для дітей місці.</w:t>
      </w:r>
    </w:p>
    <w:p w14:paraId="4FA19DE4" w14:textId="375CA7D6" w:rsidR="00F46075" w:rsidRPr="009C71B3" w:rsidRDefault="006318FD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• Не </w:t>
      </w:r>
      <w:r w:rsidR="00F46075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викидати контейнер для колючих та ріжучих інструментів у побутове сміття.</w:t>
      </w:r>
    </w:p>
    <w:p w14:paraId="06331F47" w14:textId="6EBCAA7B" w:rsidR="00F46075" w:rsidRPr="009C71B3" w:rsidRDefault="006318FD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• </w:t>
      </w:r>
      <w:r w:rsidR="00F46075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Наповнений контейнер слід утилізувати згідно з локальними вимогами або згідно з інструкціями лікаря.</w:t>
      </w:r>
    </w:p>
    <w:p w14:paraId="7243AC66" w14:textId="1749A118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39BB71" w14:textId="56E52C8A" w:rsidR="00F46075" w:rsidRPr="009C71B3" w:rsidDel="002F5F1E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 w:rsidDel="002F5F1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lastRenderedPageBreak/>
        <w:t>Діти.</w:t>
      </w:r>
    </w:p>
    <w:p w14:paraId="26D8B798" w14:textId="140EB609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 w:rsidDel="002F5F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Немає відповідного досвіду щодо застосування препарату </w:t>
      </w:r>
      <w:proofErr w:type="spellStart"/>
      <w:r w:rsidRPr="009C71B3" w:rsidDel="002F5F1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Віванат</w:t>
      </w:r>
      <w:proofErr w:type="spellEnd"/>
      <w:r w:rsidRPr="009C71B3" w:rsidDel="002F5F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 w:rsidDel="002F5F1E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Ромфарм</w:t>
      </w:r>
      <w:proofErr w:type="spellEnd"/>
      <w:r w:rsidRPr="009C71B3" w:rsidDel="002F5F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дітям (віком до 18 років). Застосування препарату в цій популяції пацієнтів не вивчали </w:t>
      </w:r>
      <w:r w:rsidR="003D2621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(див. розділи «</w:t>
      </w:r>
      <w:proofErr w:type="spellStart"/>
      <w:r w:rsidR="003D2621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Фармакодинаміка</w:t>
      </w:r>
      <w:proofErr w:type="spellEnd"/>
      <w:r w:rsidR="003D2621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» та</w:t>
      </w:r>
      <w:r w:rsidRPr="009C71B3" w:rsidDel="002F5F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«Фармакокінетика»).</w:t>
      </w:r>
    </w:p>
    <w:p w14:paraId="6307F804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43C29B54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Передозування.</w:t>
      </w:r>
    </w:p>
    <w:p w14:paraId="1BCDB23F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Специфічної інформації про лікування передозування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ібандроновою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кислотою немає.</w:t>
      </w:r>
    </w:p>
    <w:p w14:paraId="3D3BCE5D" w14:textId="21F81741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огляду на наявні знання про цей клас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сполук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передозування при внутрішньовенному введенні може призвести до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гіпокальціємії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гіпофосфатемії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гіпомагніємії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. Клінічно значущі зниження сироватков</w:t>
      </w:r>
      <w:r w:rsidR="006318FD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ого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рівн</w:t>
      </w:r>
      <w:r w:rsidR="006318FD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кальцію, фосфору та магнію слід коригувати внутрішньовенним введенням кальцію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глюконату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, фосфату калію чи натрію та сульфату магнію відповідно.</w:t>
      </w:r>
    </w:p>
    <w:p w14:paraId="3A689775" w14:textId="3CFF75F0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3A14C54" w14:textId="77777777" w:rsidR="00501155" w:rsidRDefault="00501155" w:rsidP="00501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Побічні реакції.</w:t>
      </w:r>
    </w:p>
    <w:p w14:paraId="2DF9F31B" w14:textId="77777777" w:rsidR="00501155" w:rsidRDefault="00501155" w:rsidP="00501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Резюме профілю безпеки</w:t>
      </w:r>
    </w:p>
    <w:p w14:paraId="68F01C50" w14:textId="77777777" w:rsidR="00501155" w:rsidRDefault="00501155" w:rsidP="00501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Найбільш серйозними побічними реакціями, про які повідомляли, є анафілактична реакція/шок, атипові переломи стегна,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остеонекроз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щелепних кісток, запалення ока (див. «Опис окремих побічних реакцій» та розділ «Особливості застосування»).</w:t>
      </w:r>
    </w:p>
    <w:p w14:paraId="5E7B0A2B" w14:textId="77777777" w:rsidR="00501155" w:rsidRDefault="00501155" w:rsidP="00501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Найчастішими побічними реакціями, про які повідомляли, були артралгія та грипоподібні симптоми. Ці симптоми зазвичай асоціювалися з першою дозою, у більшості випадків були короткотривалими, легкої або помірної тяжкості і зазвичай зникали при продовженні лікування та не вимагали медикаментозного втручання (див. «Опис окремих побічних реакцій»).</w:t>
      </w:r>
    </w:p>
    <w:p w14:paraId="3141FD0C" w14:textId="77777777" w:rsidR="00501155" w:rsidRDefault="00501155" w:rsidP="00501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Нижче наведено повний перелік відомих побічних реакцій.</w:t>
      </w:r>
    </w:p>
    <w:p w14:paraId="4B957EA4" w14:textId="77777777" w:rsidR="00501155" w:rsidRPr="00256D93" w:rsidRDefault="00501155" w:rsidP="00501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</w:pPr>
      <w:r w:rsidRPr="00256D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  <w:t xml:space="preserve">Безпека лікування </w:t>
      </w:r>
      <w:proofErr w:type="spellStart"/>
      <w:r w:rsidRPr="00256D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  <w:t>ібандроновою</w:t>
      </w:r>
      <w:proofErr w:type="spellEnd"/>
      <w:r w:rsidRPr="00256D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  <w:t xml:space="preserve"> кислотою у дозі 2,5 мг на добу </w:t>
      </w:r>
      <w:proofErr w:type="spellStart"/>
      <w:r w:rsidRPr="00256D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  <w:t>перорально</w:t>
      </w:r>
      <w:proofErr w:type="spellEnd"/>
      <w:r w:rsidRPr="00256D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  <w:t xml:space="preserve"> вивчалася у        1 251 пацієнта, які брали участь в 4 плацебо-контрольованих клінічних дослідженнях, при цьому більшість пацієнтів були учасниками базового трирічного дослідження переломів (MF 4411).</w:t>
      </w:r>
    </w:p>
    <w:p w14:paraId="412825C8" w14:textId="59A35153" w:rsidR="00501155" w:rsidRDefault="00501155" w:rsidP="00501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56D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  <w:t xml:space="preserve">В базовому дворічному дослідженні у жінок в </w:t>
      </w:r>
      <w:proofErr w:type="spellStart"/>
      <w:r w:rsidRPr="00256D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  <w:t>постменопаузальний</w:t>
      </w:r>
      <w:proofErr w:type="spellEnd"/>
      <w:r w:rsidRPr="00256D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  <w:t xml:space="preserve"> період з остеопорозом (ВМ16550) загальний профіль безпеки був подібним для </w:t>
      </w:r>
      <w:proofErr w:type="spellStart"/>
      <w:r w:rsidR="00B62F2C" w:rsidRPr="00256D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  <w:t>ібандроново</w:t>
      </w:r>
      <w:r w:rsidR="00B62F2C" w:rsidRPr="00256D93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ї</w:t>
      </w:r>
      <w:proofErr w:type="spellEnd"/>
      <w:r w:rsidR="00B62F2C" w:rsidRPr="00256D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  <w:t xml:space="preserve"> кислоти </w:t>
      </w:r>
      <w:r w:rsidRPr="00256D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  <w:t xml:space="preserve">у вигляді внутрішньовенних ін’єкцій по 3 мг кожні 3 місяці </w:t>
      </w:r>
      <w:r w:rsidR="00B62F2C" w:rsidRPr="00256D93"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  <w:t>та</w:t>
      </w:r>
      <w:r w:rsidRPr="00256D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  <w:t xml:space="preserve"> </w:t>
      </w:r>
      <w:proofErr w:type="spellStart"/>
      <w:r w:rsidRPr="00256D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  <w:t>ібандронової</w:t>
      </w:r>
      <w:proofErr w:type="spellEnd"/>
      <w:r w:rsidRPr="00256D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  <w:t xml:space="preserve"> кислоти у дозі 2,5 мг </w:t>
      </w:r>
      <w:proofErr w:type="spellStart"/>
      <w:r w:rsidRPr="00256D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  <w:t>перорально</w:t>
      </w:r>
      <w:proofErr w:type="spellEnd"/>
      <w:r w:rsidRPr="00256D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  <w:t xml:space="preserve"> щоденно. Загальна кількість пацієнтів, у яких виникла побічна реакція, становила відповідно 26,0 % та 28,6 % після одного та двох років застосування </w:t>
      </w:r>
      <w:proofErr w:type="spellStart"/>
      <w:r w:rsidR="00B62F2C" w:rsidRPr="00256D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  <w:t>ібандронової</w:t>
      </w:r>
      <w:proofErr w:type="spellEnd"/>
      <w:r w:rsidR="00B62F2C" w:rsidRPr="00256D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  <w:t xml:space="preserve"> кислоти</w:t>
      </w:r>
      <w:r w:rsidRPr="00256D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  <w:t xml:space="preserve"> у вигляді внутрішньовенних ін’єкцій по 3 мг кожні 3 місяці. У більшості випадків побічні реакції не призводили до припинення лікування.</w:t>
      </w:r>
    </w:p>
    <w:p w14:paraId="3C3E3915" w14:textId="77777777" w:rsidR="00501155" w:rsidRDefault="00501155" w:rsidP="00501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Перелік побічних реакцій у вигляді таблиці</w:t>
      </w:r>
    </w:p>
    <w:p w14:paraId="3A20A2C9" w14:textId="77777777" w:rsidR="00501155" w:rsidRDefault="00501155" w:rsidP="00501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таблиці  представлений повний перелік відомих побічних реакцій.</w:t>
      </w:r>
    </w:p>
    <w:p w14:paraId="1111CFCA" w14:textId="77777777" w:rsidR="00501155" w:rsidRDefault="00501155" w:rsidP="00501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Побічні реакції представлені відповідно до класу систем органів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MedDRA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розподілом за частотою. Частота оцінювалася за наступними умовними категоріями: дуже часто (≥1/10); часто (≥1/100 до &lt;1/10); нечасто (≥1/1000 до &lt;1/100);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рідко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(≥1/10000 до &lt;1/1000); поодинокі (&lt;1/10000), частота невідома (неможливо оцінити за наявними даними). У межах кожної групи за частотою побічні реакції зазначено у порядку зменшення серйозності.</w:t>
      </w:r>
    </w:p>
    <w:p w14:paraId="5B99F4CD" w14:textId="77DC9965" w:rsidR="004E69CB" w:rsidRPr="00501155" w:rsidRDefault="00501155" w:rsidP="004E6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Побічні реакції , що були зареєстровані протягом ІІІ фази досліджень ВМ16550 та MF4411 у жінок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постменопаузальний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 період, які отримували препарат у вигляді внутрішньовенних ін’єкцій по 3 мг кожні 3 місяці або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ібандронову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 кислоту у дозі 2,5 мг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перорально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 щоденно та під 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постмаркетингового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 застосування</w:t>
      </w:r>
      <w:r w:rsidR="00F7479E" w:rsidRPr="009C71B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:</w:t>
      </w:r>
    </w:p>
    <w:p w14:paraId="36A3C02E" w14:textId="77777777" w:rsidR="004E69CB" w:rsidRPr="009C71B3" w:rsidRDefault="004E69CB" w:rsidP="004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1830"/>
        <w:gridCol w:w="1707"/>
        <w:gridCol w:w="1806"/>
        <w:gridCol w:w="2086"/>
      </w:tblGrid>
      <w:tr w:rsidR="009C71B3" w:rsidRPr="009C71B3" w14:paraId="612A9487" w14:textId="77777777" w:rsidTr="00F46075">
        <w:trPr>
          <w:tblHeader/>
          <w:jc w:val="center"/>
        </w:trPr>
        <w:tc>
          <w:tcPr>
            <w:tcW w:w="2164" w:type="dxa"/>
            <w:tcBorders>
              <w:top w:val="single" w:sz="8" w:space="0" w:color="939393"/>
              <w:left w:val="single" w:sz="8" w:space="0" w:color="8C8C8C"/>
              <w:bottom w:val="single" w:sz="8" w:space="0" w:color="909090"/>
              <w:right w:val="single" w:sz="8" w:space="0" w:color="939393"/>
            </w:tcBorders>
            <w:hideMark/>
          </w:tcPr>
          <w:p w14:paraId="414535FB" w14:textId="77777777" w:rsidR="00F46075" w:rsidRPr="009C71B3" w:rsidRDefault="00F46075" w:rsidP="00F7479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Клас системи органів</w:t>
            </w:r>
          </w:p>
        </w:tc>
        <w:tc>
          <w:tcPr>
            <w:tcW w:w="1830" w:type="dxa"/>
            <w:tcBorders>
              <w:top w:val="single" w:sz="8" w:space="0" w:color="939393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1734BDDF" w14:textId="77777777" w:rsidR="00F46075" w:rsidRPr="009C71B3" w:rsidRDefault="00F46075" w:rsidP="00F7479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Часто</w:t>
            </w:r>
          </w:p>
        </w:tc>
        <w:tc>
          <w:tcPr>
            <w:tcW w:w="1683" w:type="dxa"/>
            <w:tcBorders>
              <w:top w:val="single" w:sz="8" w:space="0" w:color="939393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5D64C5C3" w14:textId="77777777" w:rsidR="00F46075" w:rsidRPr="009C71B3" w:rsidRDefault="00F46075" w:rsidP="00F7479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Нечасто</w:t>
            </w:r>
          </w:p>
        </w:tc>
        <w:tc>
          <w:tcPr>
            <w:tcW w:w="1806" w:type="dxa"/>
            <w:tcBorders>
              <w:top w:val="single" w:sz="8" w:space="0" w:color="939393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7E03BB0E" w14:textId="77777777" w:rsidR="00F46075" w:rsidRPr="009C71B3" w:rsidRDefault="00F46075" w:rsidP="00F7479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C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Рідко</w:t>
            </w:r>
            <w:proofErr w:type="spellEnd"/>
          </w:p>
        </w:tc>
        <w:tc>
          <w:tcPr>
            <w:tcW w:w="2086" w:type="dxa"/>
            <w:tcBorders>
              <w:top w:val="single" w:sz="8" w:space="0" w:color="939393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702BF388" w14:textId="7A5EA4F8" w:rsidR="00F46075" w:rsidRPr="009C71B3" w:rsidRDefault="00F7479E" w:rsidP="00F7479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Дуже </w:t>
            </w:r>
            <w:proofErr w:type="spellStart"/>
            <w:r w:rsidRPr="009C7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рідко</w:t>
            </w:r>
            <w:proofErr w:type="spellEnd"/>
          </w:p>
        </w:tc>
      </w:tr>
      <w:tr w:rsidR="009C71B3" w:rsidRPr="009C71B3" w14:paraId="29B558FE" w14:textId="77777777" w:rsidTr="00F46075">
        <w:trPr>
          <w:jc w:val="center"/>
        </w:trPr>
        <w:tc>
          <w:tcPr>
            <w:tcW w:w="2164" w:type="dxa"/>
            <w:tcBorders>
              <w:top w:val="nil"/>
              <w:left w:val="single" w:sz="8" w:space="0" w:color="8C8C8C"/>
              <w:bottom w:val="single" w:sz="8" w:space="0" w:color="909090"/>
              <w:right w:val="single" w:sz="8" w:space="0" w:color="939393"/>
            </w:tcBorders>
            <w:hideMark/>
          </w:tcPr>
          <w:p w14:paraId="3990DD14" w14:textId="77777777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боку імунної системи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057E2089" w14:textId="1C1332CE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52B2DA32" w14:textId="2C32FDBB" w:rsidR="00F46075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агострення астми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3269935F" w14:textId="5E489437" w:rsidR="00F46075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еакції підвищеної чутливості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174769DF" w14:textId="2E5730B2" w:rsidR="00F46075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нафілактична реакція/шок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*†</w:t>
            </w:r>
          </w:p>
        </w:tc>
      </w:tr>
      <w:tr w:rsidR="009C71B3" w:rsidRPr="009C71B3" w14:paraId="7066287B" w14:textId="77777777" w:rsidTr="00F46075">
        <w:trPr>
          <w:jc w:val="center"/>
        </w:trPr>
        <w:tc>
          <w:tcPr>
            <w:tcW w:w="2164" w:type="dxa"/>
            <w:tcBorders>
              <w:top w:val="nil"/>
              <w:left w:val="single" w:sz="8" w:space="0" w:color="8C8C8C"/>
              <w:bottom w:val="single" w:sz="8" w:space="0" w:color="909090"/>
              <w:right w:val="single" w:sz="8" w:space="0" w:color="939393"/>
            </w:tcBorders>
          </w:tcPr>
          <w:p w14:paraId="61AD1ED6" w14:textId="3CCFB3B4" w:rsidR="004E69CB" w:rsidRPr="009C71B3" w:rsidRDefault="004E69CB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Порушення метаболізму та харчування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</w:tcPr>
          <w:p w14:paraId="4984E417" w14:textId="77777777" w:rsidR="004E69CB" w:rsidRPr="009C71B3" w:rsidRDefault="004E69CB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</w:tcPr>
          <w:p w14:paraId="0A2F12DC" w14:textId="236E2271" w:rsidR="004E69CB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 w:rsidR="004E69CB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іпокальціємія</w:t>
            </w:r>
            <w:proofErr w:type="spellEnd"/>
            <w:r w:rsidR="004E69CB" w:rsidRPr="009C71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</w:tcPr>
          <w:p w14:paraId="4AF346DB" w14:textId="77777777" w:rsidR="004E69CB" w:rsidRPr="009C71B3" w:rsidRDefault="004E69CB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</w:tcPr>
          <w:p w14:paraId="71F21D97" w14:textId="77777777" w:rsidR="004E69CB" w:rsidRPr="009C71B3" w:rsidRDefault="004E69CB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C71B3" w:rsidRPr="009C71B3" w14:paraId="2D965B99" w14:textId="77777777" w:rsidTr="00F46075">
        <w:trPr>
          <w:jc w:val="center"/>
        </w:trPr>
        <w:tc>
          <w:tcPr>
            <w:tcW w:w="2164" w:type="dxa"/>
            <w:tcBorders>
              <w:top w:val="nil"/>
              <w:left w:val="single" w:sz="8" w:space="0" w:color="8C8C8C"/>
              <w:bottom w:val="single" w:sz="8" w:space="0" w:color="909090"/>
              <w:right w:val="single" w:sz="8" w:space="0" w:color="939393"/>
            </w:tcBorders>
            <w:hideMark/>
          </w:tcPr>
          <w:p w14:paraId="2D23DEF8" w14:textId="77777777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 боку нервової системи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542D89A3" w14:textId="4652D155" w:rsidR="00F46075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оловний біль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72061F3C" w14:textId="00B78DA0" w:rsidR="00F46075" w:rsidRPr="009C71B3" w:rsidRDefault="00F46075" w:rsidP="00621373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6FE925A6" w14:textId="300ACBBB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5E563E06" w14:textId="2DF06520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C71B3" w:rsidRPr="009C71B3" w14:paraId="7DE7D54F" w14:textId="77777777" w:rsidTr="00F46075">
        <w:trPr>
          <w:jc w:val="center"/>
        </w:trPr>
        <w:tc>
          <w:tcPr>
            <w:tcW w:w="2164" w:type="dxa"/>
            <w:tcBorders>
              <w:top w:val="nil"/>
              <w:left w:val="single" w:sz="8" w:space="0" w:color="8C8C8C"/>
              <w:bottom w:val="single" w:sz="8" w:space="0" w:color="909090"/>
              <w:right w:val="single" w:sz="8" w:space="0" w:color="939393"/>
            </w:tcBorders>
            <w:hideMark/>
          </w:tcPr>
          <w:p w14:paraId="7C44DA3D" w14:textId="77777777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боку органів зору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7875584F" w14:textId="2A60CA0A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48C9BC2B" w14:textId="77777777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7E44A5FE" w14:textId="56B9CA0F" w:rsidR="00F46075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апалення ока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*†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2AA10274" w14:textId="7FFE405D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C71B3" w:rsidRPr="009C71B3" w14:paraId="2CA76927" w14:textId="77777777" w:rsidTr="00F46075">
        <w:trPr>
          <w:jc w:val="center"/>
        </w:trPr>
        <w:tc>
          <w:tcPr>
            <w:tcW w:w="2164" w:type="dxa"/>
            <w:tcBorders>
              <w:top w:val="nil"/>
              <w:left w:val="single" w:sz="8" w:space="0" w:color="8C8C8C"/>
              <w:bottom w:val="single" w:sz="8" w:space="0" w:color="909090"/>
              <w:right w:val="single" w:sz="8" w:space="0" w:color="939393"/>
            </w:tcBorders>
            <w:hideMark/>
          </w:tcPr>
          <w:p w14:paraId="41EF283E" w14:textId="77777777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боку судин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0EE7A5C6" w14:textId="7FD46D4F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67CF48D6" w14:textId="0923DFDE" w:rsidR="00F46075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лебіт/ тромбофлебіт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162A2485" w14:textId="5C72EF71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69C7AF92" w14:textId="769691FD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C71B3" w:rsidRPr="009C71B3" w14:paraId="410F575B" w14:textId="77777777" w:rsidTr="00F46075">
        <w:trPr>
          <w:jc w:val="center"/>
        </w:trPr>
        <w:tc>
          <w:tcPr>
            <w:tcW w:w="2164" w:type="dxa"/>
            <w:tcBorders>
              <w:top w:val="nil"/>
              <w:left w:val="single" w:sz="8" w:space="0" w:color="8C8C8C"/>
              <w:bottom w:val="single" w:sz="8" w:space="0" w:color="909090"/>
              <w:right w:val="single" w:sz="8" w:space="0" w:color="939393"/>
            </w:tcBorders>
            <w:hideMark/>
          </w:tcPr>
          <w:p w14:paraId="2D79D356" w14:textId="77777777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боку травної системи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35AD5FBC" w14:textId="080E159C" w:rsidR="00F46075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астрит</w:t>
            </w: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573E92CD" w14:textId="34849230" w:rsidR="00F46075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испепсія</w:t>
            </w: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1692A4B5" w14:textId="1C2B6527" w:rsidR="00F46075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іарея</w:t>
            </w: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12C56C41" w14:textId="3F1B9649" w:rsidR="00F46075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іль у животі</w:t>
            </w: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3AD6AB71" w14:textId="4D3ED8D2" w:rsidR="00F46075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удота</w:t>
            </w: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587BDFDF" w14:textId="425AE355" w:rsidR="00F46075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апор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23485557" w14:textId="0EC586BE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28FEB097" w14:textId="26CAF8AD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4DC95D5B" w14:textId="67D728C3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C71B3" w:rsidRPr="009C71B3" w14:paraId="238C561B" w14:textId="77777777" w:rsidTr="00F46075">
        <w:trPr>
          <w:jc w:val="center"/>
        </w:trPr>
        <w:tc>
          <w:tcPr>
            <w:tcW w:w="2164" w:type="dxa"/>
            <w:tcBorders>
              <w:top w:val="nil"/>
              <w:left w:val="single" w:sz="8" w:space="0" w:color="8C8C8C"/>
              <w:bottom w:val="single" w:sz="8" w:space="0" w:color="909090"/>
              <w:right w:val="single" w:sz="8" w:space="0" w:color="939393"/>
            </w:tcBorders>
            <w:hideMark/>
          </w:tcPr>
          <w:p w14:paraId="04971C19" w14:textId="77777777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боку шкіри та підшкірної клітковини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341D9CFC" w14:textId="24FE3727" w:rsidR="00F46075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исипання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6F1C4856" w14:textId="7174ECAA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2B0FEE73" w14:textId="00DE6CD7" w:rsidR="00F46075" w:rsidRPr="009C71B3" w:rsidRDefault="00CD5412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нгіоневротич</w:t>
            </w:r>
            <w:proofErr w:type="spellEnd"/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-ний набряк</w:t>
            </w:r>
            <w:r w:rsidR="003D2621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1D3B7823" w14:textId="5ECB03BE" w:rsidR="00F46075" w:rsidRPr="009C71B3" w:rsidRDefault="004B33AA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пухання/ набряк обличчя</w:t>
            </w:r>
            <w:r w:rsidR="003D2621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0D7C9FB3" w14:textId="2BD89CD5" w:rsidR="00F46075" w:rsidRPr="009C71B3" w:rsidRDefault="004B33AA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ропив’янка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0107465C" w14:textId="011BEDA7" w:rsidR="00F46075" w:rsidRPr="009C71B3" w:rsidRDefault="004B33AA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индром </w:t>
            </w:r>
            <w:proofErr w:type="spellStart"/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Стівенса</w:t>
            </w:r>
            <w:proofErr w:type="spellEnd"/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–Джонсона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†</w:t>
            </w:r>
            <w:r w:rsidR="003D2621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0F22F0F8" w14:textId="5750DFEF" w:rsidR="00F46075" w:rsidRPr="009C71B3" w:rsidRDefault="004B33AA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ультиформна</w:t>
            </w:r>
            <w:proofErr w:type="spellEnd"/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еритема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†</w:t>
            </w:r>
            <w:r w:rsidR="003D2621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4A8320C1" w14:textId="5840AF4B" w:rsidR="00F46075" w:rsidRPr="009C71B3" w:rsidRDefault="004B33AA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ульозний</w:t>
            </w:r>
            <w:proofErr w:type="spellEnd"/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дерматит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†</w:t>
            </w:r>
          </w:p>
        </w:tc>
      </w:tr>
      <w:tr w:rsidR="009C71B3" w:rsidRPr="009C71B3" w14:paraId="508E512A" w14:textId="77777777" w:rsidTr="00F46075">
        <w:trPr>
          <w:jc w:val="center"/>
        </w:trPr>
        <w:tc>
          <w:tcPr>
            <w:tcW w:w="2164" w:type="dxa"/>
            <w:tcBorders>
              <w:top w:val="nil"/>
              <w:left w:val="single" w:sz="8" w:space="0" w:color="8C8C8C"/>
              <w:bottom w:val="single" w:sz="8" w:space="0" w:color="939393"/>
              <w:right w:val="single" w:sz="8" w:space="0" w:color="939393"/>
            </w:tcBorders>
            <w:hideMark/>
          </w:tcPr>
          <w:p w14:paraId="59D01EA0" w14:textId="77777777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боку кістково-м’язової системи та сполучної тканини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939393"/>
              <w:right w:val="single" w:sz="8" w:space="0" w:color="939393"/>
            </w:tcBorders>
            <w:hideMark/>
          </w:tcPr>
          <w:p w14:paraId="2033D1A5" w14:textId="79868242" w:rsidR="00F46075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ртралгія</w:t>
            </w: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7EFE6188" w14:textId="0EE3DBAF" w:rsidR="00F46075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іалгія</w:t>
            </w:r>
            <w:proofErr w:type="spellEnd"/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7FF0A041" w14:textId="10FC0D9C" w:rsidR="00F46075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’язово-скелетний біль</w:t>
            </w: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4D40D593" w14:textId="712C1665" w:rsidR="00F46075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іль у спині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939393"/>
              <w:right w:val="single" w:sz="8" w:space="0" w:color="939393"/>
            </w:tcBorders>
            <w:hideMark/>
          </w:tcPr>
          <w:p w14:paraId="4B4E3AE6" w14:textId="5E94818B" w:rsidR="00F46075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іль у кістках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939393"/>
              <w:right w:val="single" w:sz="8" w:space="0" w:color="939393"/>
            </w:tcBorders>
            <w:hideMark/>
          </w:tcPr>
          <w:p w14:paraId="133662DF" w14:textId="0D62B906" w:rsidR="00F46075" w:rsidRPr="009C71B3" w:rsidRDefault="004B33AA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типовий </w:t>
            </w:r>
            <w:proofErr w:type="spellStart"/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підвертлюжний</w:t>
            </w:r>
            <w:proofErr w:type="spellEnd"/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діафізарний</w:t>
            </w:r>
            <w:proofErr w:type="spellEnd"/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переломи стегнової кістки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39393"/>
              <w:right w:val="single" w:sz="8" w:space="0" w:color="939393"/>
            </w:tcBorders>
            <w:hideMark/>
          </w:tcPr>
          <w:p w14:paraId="287BCC45" w14:textId="6EA11098" w:rsidR="00F46075" w:rsidRPr="009C71B3" w:rsidRDefault="004B33AA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стеонекроз</w:t>
            </w:r>
            <w:proofErr w:type="spellEnd"/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щелепних кісток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*†</w:t>
            </w:r>
            <w:r w:rsidR="003D2621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305842F1" w14:textId="7BA40D86" w:rsidR="00F46075" w:rsidRPr="009C71B3" w:rsidRDefault="004B33AA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стеонекроз</w:t>
            </w:r>
            <w:proofErr w:type="spellEnd"/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зовнішнього слухового проходу (побічна реакція, характерна для </w:t>
            </w:r>
            <w:proofErr w:type="spellStart"/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бісфосфонатів</w:t>
            </w:r>
            <w:proofErr w:type="spellEnd"/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 класу)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†</w:t>
            </w:r>
            <w:r w:rsidR="003D2621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450CE327" w14:textId="6317C5B5" w:rsidR="00F46075" w:rsidRPr="009C71B3" w:rsidRDefault="004B33AA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стеоартрит</w:t>
            </w:r>
            <w:proofErr w:type="spellEnd"/>
            <w:r w:rsidR="003D2621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1A733393" w14:textId="3E2C8A35" w:rsidR="00F46075" w:rsidRPr="009C71B3" w:rsidRDefault="004B33AA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орушення функцій суглобів</w:t>
            </w:r>
          </w:p>
        </w:tc>
      </w:tr>
      <w:tr w:rsidR="009C71B3" w:rsidRPr="009C71B3" w14:paraId="77C42C54" w14:textId="77777777" w:rsidTr="00F46075">
        <w:trPr>
          <w:jc w:val="center"/>
        </w:trPr>
        <w:tc>
          <w:tcPr>
            <w:tcW w:w="2164" w:type="dxa"/>
            <w:tcBorders>
              <w:top w:val="nil"/>
              <w:left w:val="single" w:sz="8" w:space="0" w:color="8C8C8C"/>
              <w:bottom w:val="single" w:sz="8" w:space="0" w:color="979797"/>
              <w:right w:val="single" w:sz="8" w:space="0" w:color="939393"/>
            </w:tcBorders>
            <w:hideMark/>
          </w:tcPr>
          <w:p w14:paraId="7ECC8C06" w14:textId="77777777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порушення та стан місця введення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979797"/>
              <w:right w:val="single" w:sz="8" w:space="0" w:color="939393"/>
            </w:tcBorders>
            <w:hideMark/>
          </w:tcPr>
          <w:p w14:paraId="0824C53C" w14:textId="41B4BB0F" w:rsidR="00F46075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рипоподібне захворювання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*</w:t>
            </w: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05AF3670" w14:textId="381766DB" w:rsidR="00F46075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ідвищена втомлюваність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979797"/>
              <w:right w:val="single" w:sz="8" w:space="0" w:color="939393"/>
            </w:tcBorders>
            <w:hideMark/>
          </w:tcPr>
          <w:p w14:paraId="2DC81D89" w14:textId="2CDD88CB" w:rsidR="00F46075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еакції у місці введення</w:t>
            </w: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7121E91B" w14:textId="25A202F8" w:rsidR="00F46075" w:rsidRPr="009C71B3" w:rsidRDefault="003D2621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F46075"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стенія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909090"/>
              <w:right w:val="single" w:sz="8" w:space="0" w:color="939393"/>
            </w:tcBorders>
            <w:hideMark/>
          </w:tcPr>
          <w:p w14:paraId="3CF8B6EE" w14:textId="77777777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79797"/>
              <w:right w:val="single" w:sz="8" w:space="0" w:color="939393"/>
            </w:tcBorders>
            <w:hideMark/>
          </w:tcPr>
          <w:p w14:paraId="2C8EA7B2" w14:textId="77777777" w:rsidR="00F46075" w:rsidRPr="009C71B3" w:rsidRDefault="00F46075" w:rsidP="00F460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3BE59C76" w14:textId="77777777" w:rsidR="00F46075" w:rsidRPr="009C71B3" w:rsidRDefault="00F46075" w:rsidP="00F460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uk-UA"/>
        </w:rPr>
      </w:pPr>
      <w:r w:rsidRPr="009C71B3">
        <w:rPr>
          <w:rFonts w:ascii="Times New Roman" w:eastAsia="Times New Roman" w:hAnsi="Times New Roman" w:cs="Times New Roman"/>
          <w:vertAlign w:val="superscript"/>
          <w:lang w:eastAsia="uk-UA"/>
        </w:rPr>
        <w:t>*</w:t>
      </w:r>
      <w:r w:rsidRPr="009C71B3">
        <w:rPr>
          <w:rFonts w:ascii="Times New Roman" w:eastAsia="Times New Roman" w:hAnsi="Times New Roman" w:cs="Times New Roman"/>
          <w:lang w:eastAsia="uk-UA"/>
        </w:rPr>
        <w:t xml:space="preserve"> Див. нижче додаткову інформацію.</w:t>
      </w:r>
    </w:p>
    <w:p w14:paraId="69733CFF" w14:textId="28769D3B" w:rsidR="00F46075" w:rsidRPr="009C71B3" w:rsidRDefault="00F46075" w:rsidP="00F747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uk-UA"/>
        </w:rPr>
      </w:pPr>
      <w:r w:rsidRPr="009C71B3">
        <w:rPr>
          <w:rFonts w:ascii="Times New Roman" w:eastAsia="Times New Roman" w:hAnsi="Times New Roman" w:cs="Times New Roman"/>
          <w:vertAlign w:val="superscript"/>
          <w:lang w:eastAsia="uk-UA"/>
        </w:rPr>
        <w:t>†</w:t>
      </w:r>
      <w:r w:rsidRPr="009C71B3">
        <w:rPr>
          <w:rFonts w:ascii="Times New Roman" w:eastAsia="Times New Roman" w:hAnsi="Times New Roman" w:cs="Times New Roman"/>
          <w:lang w:eastAsia="uk-UA"/>
        </w:rPr>
        <w:t xml:space="preserve"> Виявлені під час </w:t>
      </w:r>
      <w:proofErr w:type="spellStart"/>
      <w:r w:rsidRPr="009C71B3">
        <w:rPr>
          <w:rFonts w:ascii="Times New Roman" w:eastAsia="Times New Roman" w:hAnsi="Times New Roman" w:cs="Times New Roman"/>
          <w:lang w:eastAsia="uk-UA"/>
        </w:rPr>
        <w:t>постмаркетингового</w:t>
      </w:r>
      <w:proofErr w:type="spellEnd"/>
      <w:r w:rsidRPr="009C71B3">
        <w:rPr>
          <w:rFonts w:ascii="Times New Roman" w:eastAsia="Times New Roman" w:hAnsi="Times New Roman" w:cs="Times New Roman"/>
          <w:lang w:eastAsia="uk-UA"/>
        </w:rPr>
        <w:t xml:space="preserve"> застосування.</w:t>
      </w:r>
    </w:p>
    <w:p w14:paraId="697AA30B" w14:textId="77777777" w:rsidR="00F7479E" w:rsidRPr="009C71B3" w:rsidRDefault="00F7479E" w:rsidP="00F747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14:paraId="04F7FD73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Опис окремих побічних реакцій</w:t>
      </w:r>
    </w:p>
    <w:p w14:paraId="38C2CD17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uk-UA"/>
        </w:rPr>
        <w:t>Грипоподібне захворювання</w:t>
      </w:r>
    </w:p>
    <w:p w14:paraId="2442BA8F" w14:textId="43E7CF71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Грипоподібне захворювання включає симптоми, </w:t>
      </w:r>
      <w:r w:rsidR="00621373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такі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 реакції або симптоми гострої фази, включаючи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міалгію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, артралгію, гарячку, озноб, підвищену втомлюваність, нудоту, втрату апетиту та біль у кістках.</w:t>
      </w:r>
    </w:p>
    <w:p w14:paraId="2EFBB334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uk-UA"/>
        </w:rPr>
        <w:t>Остеонекроз</w:t>
      </w:r>
      <w:proofErr w:type="spellEnd"/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uk-UA"/>
        </w:rPr>
        <w:t xml:space="preserve"> щелепних кісток (ОЩК)</w:t>
      </w:r>
    </w:p>
    <w:p w14:paraId="09168EA9" w14:textId="3041430E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Повідомляли про випадки ОЩК, переважно у пацієнтів зі злоякісними новоутвореннями, які отримували лікування препаратами, що пригнічують кісткову резорбцію, зокрема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ібандроновою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кислотою (див. розділ «Особливості застосування»). </w:t>
      </w:r>
      <w:r w:rsidR="004B33AA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Зафіксовано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випадки ОЩК під час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постмаркетингового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застосування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кислоти.</w:t>
      </w:r>
    </w:p>
    <w:p w14:paraId="416BA8C9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uk-UA"/>
        </w:rPr>
        <w:t>Запалення ока</w:t>
      </w:r>
    </w:p>
    <w:p w14:paraId="5A36F41F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застосуванні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 повідомляли про запальні порушення з боку очей: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увеїт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епісклерит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склерит. У деяких випадках ці порушення зникали лише після відміни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кислоти.</w:t>
      </w:r>
    </w:p>
    <w:p w14:paraId="09401F95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uk-UA"/>
        </w:rPr>
        <w:t>Анафілактична реакція/шок</w:t>
      </w:r>
    </w:p>
    <w:p w14:paraId="7C085431" w14:textId="77777777" w:rsidR="00F46075" w:rsidRPr="009C71B3" w:rsidRDefault="00F46075" w:rsidP="00F4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У пацієнтів, які отримували лікування внутрішньовенними ін’єкціями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ібандронової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кислоти, спостерігалися випадки анафілактичної реакції/шоку, у тому числі летальні.</w:t>
      </w:r>
    </w:p>
    <w:p w14:paraId="4EFFDB98" w14:textId="77777777" w:rsidR="00FD0937" w:rsidRPr="009C71B3" w:rsidRDefault="00FD0937" w:rsidP="00FD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1B3">
        <w:rPr>
          <w:rFonts w:ascii="Times New Roman" w:hAnsi="Times New Roman" w:cs="Times New Roman"/>
          <w:sz w:val="24"/>
          <w:szCs w:val="24"/>
          <w:u w:val="single"/>
        </w:rPr>
        <w:t>Повідомлення про підозрювані побічні реакції</w:t>
      </w:r>
    </w:p>
    <w:p w14:paraId="138B6A84" w14:textId="784FB72B" w:rsidR="00990AEA" w:rsidRPr="009C71B3" w:rsidRDefault="00990AEA" w:rsidP="0042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D93">
        <w:rPr>
          <w:rFonts w:ascii="Times New Roman" w:hAnsi="Times New Roman" w:cs="Times New Roman"/>
          <w:sz w:val="24"/>
          <w:szCs w:val="24"/>
          <w:highlight w:val="yellow"/>
        </w:rPr>
        <w:t xml:space="preserve">Повідомлення про побічні реакції після реєстрації лікарського засобу має важливе значення. Це дає змогу проводити моніторинг співвідношення користь/ризик при застосуванні цього лікарського засобу. Медичним та фармацевтичним працівникам, а також пацієнтам або їх законним представникам слід повідомляти про усі випадки підозрюваних побічних реакцій та відсутності ефективності лікарського засобу через Автоматизовану інформаційну систему з </w:t>
      </w:r>
      <w:proofErr w:type="spellStart"/>
      <w:r w:rsidRPr="00256D93">
        <w:rPr>
          <w:rFonts w:ascii="Times New Roman" w:hAnsi="Times New Roman" w:cs="Times New Roman"/>
          <w:sz w:val="24"/>
          <w:szCs w:val="24"/>
          <w:highlight w:val="yellow"/>
        </w:rPr>
        <w:t>фармаконагляду</w:t>
      </w:r>
      <w:proofErr w:type="spellEnd"/>
      <w:r w:rsidRPr="00256D93">
        <w:rPr>
          <w:rFonts w:ascii="Times New Roman" w:hAnsi="Times New Roman" w:cs="Times New Roman"/>
          <w:sz w:val="24"/>
          <w:szCs w:val="24"/>
          <w:highlight w:val="yellow"/>
        </w:rPr>
        <w:t xml:space="preserve"> за посиланням: </w:t>
      </w:r>
      <w:hyperlink r:id="rId6" w:history="1">
        <w:r w:rsidRPr="00256D93">
          <w:rPr>
            <w:rStyle w:val="a6"/>
            <w:rFonts w:ascii="Times New Roman" w:hAnsi="Times New Roman" w:cs="Times New Roman"/>
            <w:color w:val="auto"/>
            <w:sz w:val="24"/>
            <w:szCs w:val="24"/>
            <w:highlight w:val="yellow"/>
          </w:rPr>
          <w:t>https://aisf.dec.gov.ua</w:t>
        </w:r>
      </w:hyperlink>
    </w:p>
    <w:p w14:paraId="4F74AEF0" w14:textId="2C5366CC" w:rsidR="00421C41" w:rsidRPr="009C71B3" w:rsidRDefault="00421C41" w:rsidP="00421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A680142" w14:textId="77777777" w:rsidR="00421C41" w:rsidRPr="009C71B3" w:rsidRDefault="00421C41" w:rsidP="00421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Термін придатності.</w:t>
      </w:r>
    </w:p>
    <w:p w14:paraId="1305132D" w14:textId="77777777" w:rsidR="00421C41" w:rsidRPr="009C71B3" w:rsidRDefault="00421C41" w:rsidP="00421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2 роки.</w:t>
      </w:r>
    </w:p>
    <w:p w14:paraId="44BD62CA" w14:textId="77777777" w:rsidR="00421C41" w:rsidRPr="009C71B3" w:rsidRDefault="00421C41" w:rsidP="00421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3083B720" w14:textId="77777777" w:rsidR="00421C41" w:rsidRPr="009C71B3" w:rsidRDefault="00421C41" w:rsidP="00421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Умови зберігання.</w:t>
      </w:r>
    </w:p>
    <w:p w14:paraId="48151500" w14:textId="77777777" w:rsidR="00421C41" w:rsidRPr="009C71B3" w:rsidRDefault="00421C41" w:rsidP="00421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Зберігати в оригінальній упаковці у недоступному для дітей місці при температурі не вище 25 °С.</w:t>
      </w:r>
    </w:p>
    <w:p w14:paraId="6BD37AB0" w14:textId="77777777" w:rsidR="00421C41" w:rsidRPr="009C71B3" w:rsidRDefault="00421C41" w:rsidP="00421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2B169C0A" w14:textId="77777777" w:rsidR="00421C41" w:rsidRPr="009C71B3" w:rsidRDefault="00421C41" w:rsidP="00421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Несумісність.</w:t>
      </w:r>
    </w:p>
    <w:p w14:paraId="1D6CE6E7" w14:textId="77777777" w:rsidR="00421C41" w:rsidRPr="009C71B3" w:rsidRDefault="00421C41" w:rsidP="00421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Препарат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Віванат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Ромфарм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, розчин для ін’єкцій, не слід змішувати з розчинами, що містять кальцій, або з іншими лікарськими засобами для внутрішньовенного застосування.</w:t>
      </w:r>
    </w:p>
    <w:p w14:paraId="75E2F964" w14:textId="77777777" w:rsidR="00421C41" w:rsidRPr="009C71B3" w:rsidRDefault="00421C41" w:rsidP="00421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1F866A7D" w14:textId="77777777" w:rsidR="00421C41" w:rsidRPr="009C71B3" w:rsidRDefault="00421C41" w:rsidP="00421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Упаковка.</w:t>
      </w:r>
    </w:p>
    <w:p w14:paraId="02B00C50" w14:textId="166E5434" w:rsidR="00421C41" w:rsidRPr="009C71B3" w:rsidRDefault="00421C41" w:rsidP="00421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По 3 мл у попередньо наповненому шприці місткістю 5,0 мл; по 1 або по 4 попередн</w:t>
      </w:r>
      <w:r w:rsidR="00621373"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ьо наповнених шприци у блістері</w:t>
      </w: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разом з 1 або 4 голками у картонній коробці.</w:t>
      </w:r>
    </w:p>
    <w:p w14:paraId="36D516CE" w14:textId="606D90F1" w:rsidR="00421C41" w:rsidRPr="009C71B3" w:rsidRDefault="00421C41" w:rsidP="00421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7D8AA17" w14:textId="77777777" w:rsidR="00421C41" w:rsidRPr="009C71B3" w:rsidRDefault="00421C41" w:rsidP="00421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Категорія відпуску.</w:t>
      </w:r>
    </w:p>
    <w:p w14:paraId="3E020940" w14:textId="77777777" w:rsidR="00421C41" w:rsidRPr="009C71B3" w:rsidRDefault="00421C41" w:rsidP="00421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За рецептом.</w:t>
      </w:r>
    </w:p>
    <w:p w14:paraId="6F29AE5E" w14:textId="4C2D1EBF" w:rsidR="00421C41" w:rsidRPr="009C71B3" w:rsidRDefault="00421C41" w:rsidP="00421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D134F59" w14:textId="77777777" w:rsidR="00421C41" w:rsidRPr="009C71B3" w:rsidRDefault="00421C41" w:rsidP="00421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Виробник.</w:t>
      </w:r>
    </w:p>
    <w:p w14:paraId="58D7E545" w14:textId="77777777" w:rsidR="00421C41" w:rsidRPr="009C71B3" w:rsidRDefault="00421C41" w:rsidP="00421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uk-UA"/>
        </w:rPr>
        <w:t>К.Т. РОМФАРМ КОМПАНІ С.Р.Л.</w:t>
      </w:r>
    </w:p>
    <w:p w14:paraId="6D835D08" w14:textId="22BA59B8" w:rsidR="00421C41" w:rsidRPr="009C71B3" w:rsidRDefault="00421C41" w:rsidP="00421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394FB5C" w14:textId="77777777" w:rsidR="00421C41" w:rsidRPr="009C71B3" w:rsidRDefault="00421C41" w:rsidP="00421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Місцезнаходження виробника та адреса місця провадження його діяльності.</w:t>
      </w:r>
    </w:p>
    <w:p w14:paraId="538D1886" w14:textId="77777777" w:rsidR="005C341E" w:rsidRPr="009C71B3" w:rsidRDefault="005C341E" w:rsidP="005C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Ероілор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1А, м.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Отопень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075100, округ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ru-RU"/>
        </w:rPr>
        <w:t>Ілфов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Румунія – будівля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Ромфарм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і </w:t>
      </w:r>
      <w:proofErr w:type="spellStart"/>
      <w:r w:rsidRPr="009C7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Ромфарм</w:t>
      </w:r>
      <w:proofErr w:type="spellEnd"/>
      <w:r w:rsidRPr="009C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</w:p>
    <w:p w14:paraId="4F2101AD" w14:textId="77777777" w:rsidR="005D26B9" w:rsidRPr="009C71B3" w:rsidRDefault="005D26B9" w:rsidP="00990A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C740C" w14:textId="32236A76" w:rsidR="00990AEA" w:rsidRPr="009C71B3" w:rsidRDefault="00990AEA" w:rsidP="006213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UA"/>
        </w:rPr>
      </w:pPr>
      <w:r w:rsidRPr="009C71B3">
        <w:rPr>
          <w:rFonts w:ascii="Times New Roman" w:hAnsi="Times New Roman" w:cs="Times New Roman"/>
          <w:b/>
          <w:bCs/>
          <w:sz w:val="24"/>
          <w:szCs w:val="24"/>
        </w:rPr>
        <w:t>Дата останнього перегляду</w:t>
      </w:r>
      <w:r w:rsidRPr="009C71B3">
        <w:rPr>
          <w:rFonts w:ascii="Times New Roman" w:hAnsi="Times New Roman" w:cs="Times New Roman"/>
          <w:b/>
          <w:bCs/>
          <w:sz w:val="24"/>
          <w:szCs w:val="24"/>
          <w:lang w:val="ru-UA"/>
        </w:rPr>
        <w:t>.</w:t>
      </w:r>
    </w:p>
    <w:sectPr w:rsidR="00990AEA" w:rsidRPr="009C71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3F8A"/>
    <w:multiLevelType w:val="hybridMultilevel"/>
    <w:tmpl w:val="6EF2C98A"/>
    <w:lvl w:ilvl="0" w:tplc="07C436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25"/>
    <w:rsid w:val="000465FE"/>
    <w:rsid w:val="000A36DC"/>
    <w:rsid w:val="000E2514"/>
    <w:rsid w:val="0010371C"/>
    <w:rsid w:val="0012732F"/>
    <w:rsid w:val="001F650D"/>
    <w:rsid w:val="00224A26"/>
    <w:rsid w:val="00256D93"/>
    <w:rsid w:val="002868CA"/>
    <w:rsid w:val="002C119C"/>
    <w:rsid w:val="002F5F1E"/>
    <w:rsid w:val="00337725"/>
    <w:rsid w:val="0034598B"/>
    <w:rsid w:val="003D2621"/>
    <w:rsid w:val="003E503A"/>
    <w:rsid w:val="003F71B6"/>
    <w:rsid w:val="00421C41"/>
    <w:rsid w:val="00440A5F"/>
    <w:rsid w:val="004A3253"/>
    <w:rsid w:val="004B33AA"/>
    <w:rsid w:val="004B7603"/>
    <w:rsid w:val="004E69CB"/>
    <w:rsid w:val="00500DA7"/>
    <w:rsid w:val="00501155"/>
    <w:rsid w:val="00524E3A"/>
    <w:rsid w:val="00534CA9"/>
    <w:rsid w:val="0055633A"/>
    <w:rsid w:val="005C341E"/>
    <w:rsid w:val="005D26B9"/>
    <w:rsid w:val="00621373"/>
    <w:rsid w:val="006318FD"/>
    <w:rsid w:val="00691EEA"/>
    <w:rsid w:val="007426BB"/>
    <w:rsid w:val="007C5B8C"/>
    <w:rsid w:val="008930A9"/>
    <w:rsid w:val="008A0A5F"/>
    <w:rsid w:val="008D4244"/>
    <w:rsid w:val="00953DF3"/>
    <w:rsid w:val="00990AEA"/>
    <w:rsid w:val="009C71B3"/>
    <w:rsid w:val="009E3087"/>
    <w:rsid w:val="00A13801"/>
    <w:rsid w:val="00A62B27"/>
    <w:rsid w:val="00B37921"/>
    <w:rsid w:val="00B42017"/>
    <w:rsid w:val="00B6121C"/>
    <w:rsid w:val="00B62F2C"/>
    <w:rsid w:val="00BF6775"/>
    <w:rsid w:val="00C05EF0"/>
    <w:rsid w:val="00C43ACF"/>
    <w:rsid w:val="00C5667E"/>
    <w:rsid w:val="00C9097A"/>
    <w:rsid w:val="00CA092D"/>
    <w:rsid w:val="00CB49C1"/>
    <w:rsid w:val="00CD5412"/>
    <w:rsid w:val="00CF26AD"/>
    <w:rsid w:val="00D6317C"/>
    <w:rsid w:val="00DB571A"/>
    <w:rsid w:val="00E82778"/>
    <w:rsid w:val="00ED66E2"/>
    <w:rsid w:val="00F46075"/>
    <w:rsid w:val="00F50B66"/>
    <w:rsid w:val="00F7479E"/>
    <w:rsid w:val="00F90A3B"/>
    <w:rsid w:val="00FA7748"/>
    <w:rsid w:val="00FD0937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684E8"/>
  <w15:chartTrackingRefBased/>
  <w15:docId w15:val="{67C0E6C1-6E51-49DD-88E7-4CB8152C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basedOn w:val="a"/>
    <w:uiPriority w:val="1"/>
    <w:qFormat/>
    <w:rsid w:val="00F4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F4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224A26"/>
    <w:rPr>
      <w:color w:val="0000FF"/>
      <w:u w:val="single"/>
    </w:rPr>
  </w:style>
  <w:style w:type="paragraph" w:styleId="a7">
    <w:name w:val="Revision"/>
    <w:hidden/>
    <w:uiPriority w:val="99"/>
    <w:semiHidden/>
    <w:rsid w:val="00ED66E2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2F5F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F5F1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F5F1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5F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F5F1E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0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isf.dec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AF0C5-240B-4473-A822-257280D5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4051</Words>
  <Characters>23094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Aleksieienko-Lemovska</dc:creator>
  <cp:keywords/>
  <dc:description/>
  <cp:lastModifiedBy>Олехнович Ірина Леонідівна</cp:lastModifiedBy>
  <cp:revision>2</cp:revision>
  <dcterms:created xsi:type="dcterms:W3CDTF">2024-01-18T08:04:00Z</dcterms:created>
  <dcterms:modified xsi:type="dcterms:W3CDTF">2024-01-18T08:04:00Z</dcterms:modified>
</cp:coreProperties>
</file>